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B8FEE" w14:textId="77777777" w:rsidR="00464DB0" w:rsidRPr="00FC2ED5" w:rsidRDefault="00464DB0" w:rsidP="004D3A8D">
      <w:pPr>
        <w:spacing w:after="0" w:line="240" w:lineRule="auto"/>
        <w:rPr>
          <w:rFonts w:cstheme="minorHAnsi"/>
        </w:rPr>
      </w:pPr>
    </w:p>
    <w:p w14:paraId="314ADEE0" w14:textId="77777777" w:rsidR="00CC393D" w:rsidRPr="00FC2ED5" w:rsidRDefault="00CC393D" w:rsidP="004D3A8D">
      <w:pPr>
        <w:spacing w:after="0" w:line="240" w:lineRule="auto"/>
        <w:rPr>
          <w:rFonts w:cstheme="minorHAnsi"/>
        </w:rPr>
      </w:pPr>
    </w:p>
    <w:tbl>
      <w:tblPr>
        <w:tblStyle w:val="TableGrid"/>
        <w:tblW w:w="0" w:type="auto"/>
        <w:tblLook w:val="04A0" w:firstRow="1" w:lastRow="0" w:firstColumn="1" w:lastColumn="0" w:noHBand="0" w:noVBand="1"/>
      </w:tblPr>
      <w:tblGrid>
        <w:gridCol w:w="970"/>
        <w:gridCol w:w="2693"/>
        <w:gridCol w:w="6379"/>
      </w:tblGrid>
      <w:tr w:rsidR="00FC2ED5" w:rsidRPr="00FC2ED5" w14:paraId="3DC90CCE" w14:textId="77777777" w:rsidTr="0064631C">
        <w:tc>
          <w:tcPr>
            <w:tcW w:w="970" w:type="dxa"/>
          </w:tcPr>
          <w:p w14:paraId="012B9205" w14:textId="507D4FE6" w:rsidR="00CC393D" w:rsidRPr="00E806EE" w:rsidRDefault="00CC393D" w:rsidP="00E806EE">
            <w:pPr>
              <w:jc w:val="center"/>
              <w:rPr>
                <w:rFonts w:cstheme="minorHAnsi"/>
                <w:sz w:val="24"/>
                <w:szCs w:val="24"/>
              </w:rPr>
            </w:pPr>
            <w:r w:rsidRPr="00E806EE">
              <w:rPr>
                <w:rFonts w:cstheme="minorHAnsi"/>
                <w:sz w:val="24"/>
                <w:szCs w:val="24"/>
              </w:rPr>
              <w:t>Year</w:t>
            </w:r>
          </w:p>
        </w:tc>
        <w:tc>
          <w:tcPr>
            <w:tcW w:w="2693" w:type="dxa"/>
          </w:tcPr>
          <w:p w14:paraId="7F8D847B" w14:textId="41ED751D" w:rsidR="00CC393D" w:rsidRPr="00FC2ED5" w:rsidRDefault="00CC393D" w:rsidP="004D3A8D">
            <w:pPr>
              <w:jc w:val="center"/>
              <w:rPr>
                <w:rFonts w:cstheme="minorHAnsi"/>
              </w:rPr>
            </w:pPr>
            <w:r w:rsidRPr="00FC2ED5">
              <w:rPr>
                <w:rFonts w:cstheme="minorHAnsi"/>
              </w:rPr>
              <w:t>Name of Act</w:t>
            </w:r>
          </w:p>
        </w:tc>
        <w:tc>
          <w:tcPr>
            <w:tcW w:w="6379" w:type="dxa"/>
          </w:tcPr>
          <w:p w14:paraId="73206B80" w14:textId="6F59992C" w:rsidR="00CC393D" w:rsidRPr="00FC2ED5" w:rsidRDefault="00CC393D" w:rsidP="004D3A8D">
            <w:pPr>
              <w:jc w:val="center"/>
              <w:rPr>
                <w:rFonts w:cstheme="minorHAnsi"/>
              </w:rPr>
            </w:pPr>
            <w:r w:rsidRPr="00FC2ED5">
              <w:rPr>
                <w:rFonts w:cstheme="minorHAnsi"/>
              </w:rPr>
              <w:t>Affecting</w:t>
            </w:r>
          </w:p>
        </w:tc>
      </w:tr>
      <w:tr w:rsidR="004D3A8D" w:rsidRPr="00FC2ED5" w14:paraId="14FC7A06" w14:textId="77777777" w:rsidTr="0064631C">
        <w:tc>
          <w:tcPr>
            <w:tcW w:w="970" w:type="dxa"/>
            <w:vMerge w:val="restart"/>
          </w:tcPr>
          <w:p w14:paraId="65796F4C" w14:textId="1C39F89A" w:rsidR="004D3A8D" w:rsidRPr="00E806EE" w:rsidRDefault="004D3A8D" w:rsidP="00E806EE">
            <w:pPr>
              <w:jc w:val="center"/>
              <w:rPr>
                <w:rFonts w:cstheme="minorHAnsi"/>
                <w:sz w:val="24"/>
                <w:szCs w:val="24"/>
              </w:rPr>
            </w:pPr>
            <w:r w:rsidRPr="00E806EE">
              <w:rPr>
                <w:rFonts w:cstheme="minorHAnsi"/>
                <w:sz w:val="24"/>
                <w:szCs w:val="24"/>
              </w:rPr>
              <w:t>1974</w:t>
            </w:r>
          </w:p>
        </w:tc>
        <w:tc>
          <w:tcPr>
            <w:tcW w:w="2693" w:type="dxa"/>
          </w:tcPr>
          <w:p w14:paraId="7EAFA679" w14:textId="0B43A955" w:rsidR="004D3A8D" w:rsidRPr="00E806EE" w:rsidRDefault="004D3A8D" w:rsidP="004D3A8D">
            <w:pPr>
              <w:pStyle w:val="Heading2"/>
              <w:spacing w:before="0" w:beforeAutospacing="0" w:after="0" w:afterAutospacing="0"/>
              <w:rPr>
                <w:rFonts w:asciiTheme="minorHAnsi" w:hAnsiTheme="minorHAnsi" w:cstheme="minorHAnsi"/>
                <w:b w:val="0"/>
                <w:bCs w:val="0"/>
                <w:sz w:val="22"/>
                <w:szCs w:val="22"/>
              </w:rPr>
            </w:pPr>
            <w:r w:rsidRPr="00E806EE">
              <w:rPr>
                <w:rFonts w:asciiTheme="minorHAnsi" w:hAnsiTheme="minorHAnsi" w:cstheme="minorHAnsi"/>
                <w:b w:val="0"/>
                <w:bCs w:val="0"/>
                <w:sz w:val="22"/>
                <w:szCs w:val="22"/>
              </w:rPr>
              <w:t>Health and Safety at Work Act 1974</w:t>
            </w:r>
          </w:p>
        </w:tc>
        <w:tc>
          <w:tcPr>
            <w:tcW w:w="6379" w:type="dxa"/>
          </w:tcPr>
          <w:p w14:paraId="254A5A3F" w14:textId="1BE46585" w:rsidR="004D3A8D" w:rsidRPr="004D3A8D" w:rsidRDefault="004D3A8D" w:rsidP="004D3A8D">
            <w:pPr>
              <w:pStyle w:val="trt0xe"/>
              <w:numPr>
                <w:ilvl w:val="0"/>
                <w:numId w:val="25"/>
              </w:numPr>
              <w:shd w:val="clear" w:color="auto" w:fill="FFFFFF"/>
              <w:tabs>
                <w:tab w:val="clear" w:pos="720"/>
                <w:tab w:val="num" w:pos="451"/>
              </w:tabs>
              <w:spacing w:before="0" w:beforeAutospacing="0" w:after="0" w:afterAutospacing="0"/>
              <w:ind w:hanging="694"/>
              <w:rPr>
                <w:rFonts w:asciiTheme="minorHAnsi" w:hAnsiTheme="minorHAnsi" w:cstheme="minorHAnsi"/>
                <w:color w:val="202124"/>
              </w:rPr>
            </w:pPr>
            <w:r w:rsidRPr="004D3A8D">
              <w:rPr>
                <w:rFonts w:asciiTheme="minorHAnsi" w:hAnsiTheme="minorHAnsi" w:cstheme="minorHAnsi"/>
                <w:color w:val="202124"/>
              </w:rPr>
              <w:t xml:space="preserve">Provide a safe place of work. </w:t>
            </w:r>
          </w:p>
          <w:p w14:paraId="3074EB7E" w14:textId="4DCE2AE8" w:rsidR="004D3A8D" w:rsidRPr="004D3A8D" w:rsidRDefault="004D3A8D" w:rsidP="004D3A8D">
            <w:pPr>
              <w:pStyle w:val="trt0xe"/>
              <w:numPr>
                <w:ilvl w:val="0"/>
                <w:numId w:val="25"/>
              </w:numPr>
              <w:shd w:val="clear" w:color="auto" w:fill="FFFFFF"/>
              <w:tabs>
                <w:tab w:val="clear" w:pos="720"/>
                <w:tab w:val="num" w:pos="451"/>
              </w:tabs>
              <w:spacing w:before="0" w:beforeAutospacing="0" w:after="0" w:afterAutospacing="0"/>
              <w:ind w:hanging="694"/>
              <w:rPr>
                <w:rFonts w:asciiTheme="minorHAnsi" w:hAnsiTheme="minorHAnsi" w:cstheme="minorHAnsi"/>
                <w:color w:val="202124"/>
              </w:rPr>
            </w:pPr>
            <w:r w:rsidRPr="004D3A8D">
              <w:rPr>
                <w:rFonts w:asciiTheme="minorHAnsi" w:hAnsiTheme="minorHAnsi" w:cstheme="minorHAnsi"/>
                <w:color w:val="202124"/>
              </w:rPr>
              <w:t xml:space="preserve">Provide safe equipment. </w:t>
            </w:r>
          </w:p>
          <w:p w14:paraId="107B1AFE" w14:textId="2DDE375E" w:rsidR="004D3A8D" w:rsidRPr="004D3A8D" w:rsidRDefault="004D3A8D" w:rsidP="004D3A8D">
            <w:pPr>
              <w:pStyle w:val="trt0xe"/>
              <w:numPr>
                <w:ilvl w:val="0"/>
                <w:numId w:val="25"/>
              </w:numPr>
              <w:shd w:val="clear" w:color="auto" w:fill="FFFFFF"/>
              <w:tabs>
                <w:tab w:val="clear" w:pos="720"/>
                <w:tab w:val="num" w:pos="451"/>
              </w:tabs>
              <w:spacing w:before="0" w:beforeAutospacing="0" w:after="0" w:afterAutospacing="0"/>
              <w:ind w:hanging="694"/>
              <w:rPr>
                <w:rFonts w:asciiTheme="minorHAnsi" w:hAnsiTheme="minorHAnsi" w:cstheme="minorHAnsi"/>
                <w:color w:val="202124"/>
              </w:rPr>
            </w:pPr>
            <w:r w:rsidRPr="004D3A8D">
              <w:rPr>
                <w:rFonts w:asciiTheme="minorHAnsi" w:hAnsiTheme="minorHAnsi" w:cstheme="minorHAnsi"/>
                <w:color w:val="202124"/>
              </w:rPr>
              <w:t xml:space="preserve">Ensure staff are properly trained. </w:t>
            </w:r>
          </w:p>
          <w:p w14:paraId="5DC72A0F" w14:textId="6D258D3F" w:rsidR="004D3A8D" w:rsidRPr="004D3A8D" w:rsidRDefault="004D3A8D" w:rsidP="004D3A8D">
            <w:pPr>
              <w:pStyle w:val="trt0xe"/>
              <w:numPr>
                <w:ilvl w:val="0"/>
                <w:numId w:val="25"/>
              </w:numPr>
              <w:shd w:val="clear" w:color="auto" w:fill="FFFFFF"/>
              <w:tabs>
                <w:tab w:val="clear" w:pos="720"/>
                <w:tab w:val="num" w:pos="451"/>
              </w:tabs>
              <w:spacing w:before="0" w:beforeAutospacing="0" w:after="0" w:afterAutospacing="0"/>
              <w:ind w:hanging="694"/>
              <w:rPr>
                <w:rFonts w:asciiTheme="minorHAnsi" w:hAnsiTheme="minorHAnsi" w:cstheme="minorHAnsi"/>
                <w:color w:val="202124"/>
              </w:rPr>
            </w:pPr>
            <w:r w:rsidRPr="004D3A8D">
              <w:rPr>
                <w:rFonts w:asciiTheme="minorHAnsi" w:hAnsiTheme="minorHAnsi" w:cstheme="minorHAnsi"/>
                <w:color w:val="202124"/>
              </w:rPr>
              <w:t xml:space="preserve">Carry out risk assessments. </w:t>
            </w:r>
          </w:p>
          <w:p w14:paraId="3CA56C99" w14:textId="593B5008" w:rsidR="004D3A8D" w:rsidRPr="004D3A8D" w:rsidRDefault="004D3A8D" w:rsidP="004D3A8D">
            <w:pPr>
              <w:pStyle w:val="trt0xe"/>
              <w:numPr>
                <w:ilvl w:val="0"/>
                <w:numId w:val="25"/>
              </w:numPr>
              <w:shd w:val="clear" w:color="auto" w:fill="FFFFFF"/>
              <w:tabs>
                <w:tab w:val="clear" w:pos="720"/>
                <w:tab w:val="num" w:pos="451"/>
              </w:tabs>
              <w:spacing w:before="0" w:beforeAutospacing="0" w:after="0" w:afterAutospacing="0"/>
              <w:ind w:hanging="694"/>
              <w:rPr>
                <w:rFonts w:asciiTheme="minorHAnsi" w:hAnsiTheme="minorHAnsi" w:cstheme="minorHAnsi"/>
                <w:color w:val="202124"/>
              </w:rPr>
            </w:pPr>
            <w:r w:rsidRPr="004D3A8D">
              <w:rPr>
                <w:rFonts w:asciiTheme="minorHAnsi" w:hAnsiTheme="minorHAnsi" w:cstheme="minorHAnsi"/>
                <w:color w:val="202124"/>
              </w:rPr>
              <w:t xml:space="preserve">Provide proper facilities. </w:t>
            </w:r>
          </w:p>
          <w:p w14:paraId="3392776E" w14:textId="4FC604A8" w:rsidR="004D3A8D" w:rsidRPr="004D3A8D" w:rsidRDefault="004D3A8D" w:rsidP="00E806EE">
            <w:pPr>
              <w:pStyle w:val="trt0xe"/>
              <w:numPr>
                <w:ilvl w:val="0"/>
                <w:numId w:val="25"/>
              </w:numPr>
              <w:shd w:val="clear" w:color="auto" w:fill="FFFFFF"/>
              <w:tabs>
                <w:tab w:val="clear" w:pos="720"/>
                <w:tab w:val="num" w:pos="451"/>
              </w:tabs>
              <w:spacing w:before="0" w:beforeAutospacing="0" w:after="0" w:afterAutospacing="0"/>
              <w:ind w:hanging="694"/>
              <w:rPr>
                <w:rFonts w:asciiTheme="minorHAnsi" w:hAnsiTheme="minorHAnsi" w:cstheme="minorHAnsi"/>
              </w:rPr>
            </w:pPr>
            <w:r w:rsidRPr="004D3A8D">
              <w:rPr>
                <w:rFonts w:asciiTheme="minorHAnsi" w:hAnsiTheme="minorHAnsi" w:cstheme="minorHAnsi"/>
                <w:color w:val="202124"/>
              </w:rPr>
              <w:t>Appoint a competent person to oversee health and safety.</w:t>
            </w:r>
          </w:p>
        </w:tc>
      </w:tr>
      <w:tr w:rsidR="004D3A8D" w:rsidRPr="00FC2ED5" w14:paraId="0E28BF16" w14:textId="77777777" w:rsidTr="0064631C">
        <w:tc>
          <w:tcPr>
            <w:tcW w:w="970" w:type="dxa"/>
            <w:vMerge/>
          </w:tcPr>
          <w:p w14:paraId="411EAD31" w14:textId="77777777" w:rsidR="004D3A8D" w:rsidRPr="00E806EE" w:rsidRDefault="004D3A8D" w:rsidP="00E806EE">
            <w:pPr>
              <w:jc w:val="center"/>
              <w:rPr>
                <w:rFonts w:cstheme="minorHAnsi"/>
                <w:sz w:val="24"/>
                <w:szCs w:val="24"/>
              </w:rPr>
            </w:pPr>
          </w:p>
        </w:tc>
        <w:tc>
          <w:tcPr>
            <w:tcW w:w="2693" w:type="dxa"/>
          </w:tcPr>
          <w:p w14:paraId="50E718BA" w14:textId="73AB1253" w:rsidR="004D3A8D" w:rsidRPr="00E806EE" w:rsidRDefault="004D3A8D" w:rsidP="004D3A8D">
            <w:pPr>
              <w:pStyle w:val="Heading2"/>
              <w:spacing w:before="0" w:beforeAutospacing="0" w:after="0" w:afterAutospacing="0"/>
              <w:rPr>
                <w:rFonts w:asciiTheme="minorHAnsi" w:hAnsiTheme="minorHAnsi" w:cstheme="minorHAnsi"/>
                <w:b w:val="0"/>
                <w:bCs w:val="0"/>
                <w:sz w:val="22"/>
                <w:szCs w:val="22"/>
              </w:rPr>
            </w:pPr>
            <w:r w:rsidRPr="00E806EE">
              <w:rPr>
                <w:rFonts w:asciiTheme="minorHAnsi" w:hAnsiTheme="minorHAnsi" w:cstheme="minorHAnsi"/>
                <w:b w:val="0"/>
                <w:bCs w:val="0"/>
                <w:sz w:val="22"/>
                <w:szCs w:val="22"/>
              </w:rPr>
              <w:t>Control of Pollution Act 1974</w:t>
            </w:r>
          </w:p>
        </w:tc>
        <w:tc>
          <w:tcPr>
            <w:tcW w:w="6379" w:type="dxa"/>
          </w:tcPr>
          <w:p w14:paraId="4CAC6EF0" w14:textId="206DAD1F" w:rsidR="004D3A8D" w:rsidRPr="00FC2ED5" w:rsidRDefault="00E806EE" w:rsidP="004D3A8D">
            <w:pPr>
              <w:rPr>
                <w:rFonts w:cstheme="minorHAnsi"/>
              </w:rPr>
            </w:pPr>
            <w:r w:rsidRPr="00E806EE">
              <w:rPr>
                <w:rFonts w:cstheme="minorHAnsi"/>
              </w:rPr>
              <w:t>controls noise on construction sites</w:t>
            </w:r>
          </w:p>
        </w:tc>
      </w:tr>
      <w:tr w:rsidR="003C560F" w:rsidRPr="00FC2ED5" w14:paraId="1EC29618" w14:textId="77777777" w:rsidTr="0064631C">
        <w:tc>
          <w:tcPr>
            <w:tcW w:w="970" w:type="dxa"/>
            <w:vMerge w:val="restart"/>
          </w:tcPr>
          <w:p w14:paraId="5F8F0362" w14:textId="77777777" w:rsidR="003C560F" w:rsidRPr="00E806EE" w:rsidRDefault="003C560F" w:rsidP="00E806EE">
            <w:pPr>
              <w:jc w:val="center"/>
              <w:rPr>
                <w:rFonts w:cstheme="minorHAnsi"/>
                <w:sz w:val="24"/>
                <w:szCs w:val="24"/>
              </w:rPr>
            </w:pPr>
            <w:r w:rsidRPr="00E806EE">
              <w:rPr>
                <w:rFonts w:cstheme="minorHAnsi"/>
                <w:sz w:val="24"/>
                <w:szCs w:val="24"/>
              </w:rPr>
              <w:t>1977</w:t>
            </w:r>
          </w:p>
          <w:p w14:paraId="21669DD4" w14:textId="54C5A142" w:rsidR="003C560F" w:rsidRPr="00E806EE" w:rsidRDefault="003C560F" w:rsidP="00E806EE">
            <w:pPr>
              <w:jc w:val="center"/>
              <w:rPr>
                <w:rFonts w:cstheme="minorHAnsi"/>
                <w:sz w:val="24"/>
                <w:szCs w:val="24"/>
              </w:rPr>
            </w:pPr>
          </w:p>
        </w:tc>
        <w:tc>
          <w:tcPr>
            <w:tcW w:w="2693" w:type="dxa"/>
          </w:tcPr>
          <w:p w14:paraId="78C193D8" w14:textId="37CA314A" w:rsidR="003C560F" w:rsidRPr="00FC2ED5" w:rsidRDefault="003C560F"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Rent Act 1977</w:t>
            </w:r>
          </w:p>
        </w:tc>
        <w:tc>
          <w:tcPr>
            <w:tcW w:w="6379" w:type="dxa"/>
          </w:tcPr>
          <w:p w14:paraId="3551D0C3" w14:textId="16501BE7" w:rsidR="003C560F" w:rsidRPr="00FC2ED5" w:rsidRDefault="003C560F" w:rsidP="004D3A8D">
            <w:pPr>
              <w:rPr>
                <w:rFonts w:cstheme="minorHAnsi"/>
              </w:rPr>
            </w:pPr>
            <w:r w:rsidRPr="00FC2ED5">
              <w:rPr>
                <w:rFonts w:cstheme="minorHAnsi"/>
              </w:rPr>
              <w:t>introduced significant changes to the regulation of rent in the private sector, creating protected tenancies and establishing fair rent mechanisms</w:t>
            </w:r>
          </w:p>
        </w:tc>
      </w:tr>
      <w:tr w:rsidR="003C560F" w:rsidRPr="00FC2ED5" w14:paraId="3CF531A4" w14:textId="77777777" w:rsidTr="0064631C">
        <w:tc>
          <w:tcPr>
            <w:tcW w:w="970" w:type="dxa"/>
            <w:vMerge/>
          </w:tcPr>
          <w:p w14:paraId="4FB61ECF" w14:textId="4CA13585" w:rsidR="003C560F" w:rsidRPr="00E806EE" w:rsidRDefault="003C560F" w:rsidP="00E806EE">
            <w:pPr>
              <w:jc w:val="center"/>
              <w:rPr>
                <w:rFonts w:cstheme="minorHAnsi"/>
                <w:sz w:val="24"/>
                <w:szCs w:val="24"/>
              </w:rPr>
            </w:pPr>
          </w:p>
        </w:tc>
        <w:tc>
          <w:tcPr>
            <w:tcW w:w="2693" w:type="dxa"/>
          </w:tcPr>
          <w:p w14:paraId="18C8D42D" w14:textId="1933C569" w:rsidR="003C560F" w:rsidRPr="00FC2ED5" w:rsidRDefault="003C560F"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Protection from Eviction Act 1977</w:t>
            </w:r>
          </w:p>
        </w:tc>
        <w:tc>
          <w:tcPr>
            <w:tcW w:w="6379" w:type="dxa"/>
          </w:tcPr>
          <w:p w14:paraId="6B80882E" w14:textId="220604C3" w:rsidR="003C560F" w:rsidRPr="00FC2ED5" w:rsidRDefault="003C560F" w:rsidP="004D3A8D">
            <w:pPr>
              <w:rPr>
                <w:rFonts w:cstheme="minorHAnsi"/>
              </w:rPr>
            </w:pPr>
            <w:r w:rsidRPr="00FC2ED5">
              <w:rPr>
                <w:rFonts w:cstheme="minorHAnsi"/>
              </w:rPr>
              <w:t>Designed to safeguard the rights of residential occupiers and ensure that landlords follow proper legal procedures when seeking possession of a property.</w:t>
            </w:r>
          </w:p>
        </w:tc>
      </w:tr>
      <w:tr w:rsidR="003C560F" w:rsidRPr="00FC2ED5" w14:paraId="67FBEBB6" w14:textId="77777777" w:rsidTr="0064631C">
        <w:tc>
          <w:tcPr>
            <w:tcW w:w="970" w:type="dxa"/>
            <w:vMerge/>
          </w:tcPr>
          <w:p w14:paraId="153D05E9" w14:textId="77777777" w:rsidR="003C560F" w:rsidRPr="00E806EE" w:rsidRDefault="003C560F" w:rsidP="00E806EE">
            <w:pPr>
              <w:jc w:val="center"/>
              <w:rPr>
                <w:rFonts w:cstheme="minorHAnsi"/>
                <w:sz w:val="24"/>
                <w:szCs w:val="24"/>
              </w:rPr>
            </w:pPr>
          </w:p>
        </w:tc>
        <w:tc>
          <w:tcPr>
            <w:tcW w:w="2693" w:type="dxa"/>
          </w:tcPr>
          <w:p w14:paraId="61187184" w14:textId="30EB9C8C" w:rsidR="003C560F" w:rsidRPr="003C560F" w:rsidRDefault="003C560F" w:rsidP="004D3A8D">
            <w:pPr>
              <w:pStyle w:val="Heading2"/>
              <w:spacing w:before="0" w:beforeAutospacing="0" w:after="0" w:afterAutospacing="0"/>
              <w:rPr>
                <w:rFonts w:asciiTheme="minorHAnsi" w:hAnsiTheme="minorHAnsi" w:cstheme="minorHAnsi"/>
                <w:b w:val="0"/>
                <w:bCs w:val="0"/>
                <w:sz w:val="20"/>
                <w:szCs w:val="20"/>
              </w:rPr>
            </w:pPr>
            <w:r w:rsidRPr="003C560F">
              <w:rPr>
                <w:rFonts w:asciiTheme="minorHAnsi" w:hAnsiTheme="minorHAnsi" w:cstheme="minorHAnsi"/>
                <w:b w:val="0"/>
                <w:bCs w:val="0"/>
                <w:sz w:val="20"/>
                <w:szCs w:val="20"/>
              </w:rPr>
              <w:t>Unfair Contract Terms Act 1977</w:t>
            </w:r>
          </w:p>
        </w:tc>
        <w:tc>
          <w:tcPr>
            <w:tcW w:w="6379" w:type="dxa"/>
          </w:tcPr>
          <w:p w14:paraId="01C7C5CD" w14:textId="281BD5B7" w:rsidR="003C560F" w:rsidRPr="00FC2ED5" w:rsidRDefault="003C560F" w:rsidP="004D3A8D">
            <w:pPr>
              <w:rPr>
                <w:rFonts w:cstheme="minorHAnsi"/>
              </w:rPr>
            </w:pPr>
            <w:r>
              <w:t>Restrictions on excluding liability for personal injuries</w:t>
            </w:r>
          </w:p>
        </w:tc>
      </w:tr>
      <w:tr w:rsidR="003C560F" w:rsidRPr="00FC2ED5" w14:paraId="11A313A7" w14:textId="77777777" w:rsidTr="0064631C">
        <w:tc>
          <w:tcPr>
            <w:tcW w:w="970" w:type="dxa"/>
            <w:vMerge/>
          </w:tcPr>
          <w:p w14:paraId="468EA5B2" w14:textId="77777777" w:rsidR="003C560F" w:rsidRPr="00E806EE" w:rsidRDefault="003C560F" w:rsidP="00E806EE">
            <w:pPr>
              <w:jc w:val="center"/>
              <w:rPr>
                <w:rFonts w:cstheme="minorHAnsi"/>
                <w:sz w:val="24"/>
                <w:szCs w:val="24"/>
              </w:rPr>
            </w:pPr>
          </w:p>
        </w:tc>
        <w:tc>
          <w:tcPr>
            <w:tcW w:w="2693" w:type="dxa"/>
          </w:tcPr>
          <w:p w14:paraId="697782D1" w14:textId="649EC613" w:rsidR="003C560F" w:rsidRPr="003C560F" w:rsidRDefault="003C560F" w:rsidP="004D3A8D">
            <w:pPr>
              <w:pStyle w:val="Heading2"/>
              <w:spacing w:before="0" w:beforeAutospacing="0" w:after="0" w:afterAutospacing="0"/>
              <w:rPr>
                <w:rFonts w:asciiTheme="minorHAnsi" w:hAnsiTheme="minorHAnsi" w:cstheme="minorHAnsi"/>
                <w:b w:val="0"/>
                <w:bCs w:val="0"/>
                <w:sz w:val="22"/>
                <w:szCs w:val="22"/>
              </w:rPr>
            </w:pPr>
            <w:r w:rsidRPr="003C560F">
              <w:rPr>
                <w:rFonts w:asciiTheme="minorHAnsi" w:hAnsiTheme="minorHAnsi" w:cstheme="minorHAnsi"/>
                <w:b w:val="0"/>
                <w:bCs w:val="0"/>
                <w:sz w:val="22"/>
                <w:szCs w:val="22"/>
              </w:rPr>
              <w:t>Criminal Law Act 1977</w:t>
            </w:r>
          </w:p>
        </w:tc>
        <w:tc>
          <w:tcPr>
            <w:tcW w:w="6379" w:type="dxa"/>
          </w:tcPr>
          <w:p w14:paraId="28E26E02" w14:textId="40F90C30" w:rsidR="003C560F" w:rsidRPr="00FC2ED5" w:rsidRDefault="003C560F" w:rsidP="004D3A8D">
            <w:pPr>
              <w:rPr>
                <w:rFonts w:cstheme="minorHAnsi"/>
              </w:rPr>
            </w:pPr>
            <w:r>
              <w:t>Restriction on use of force to secure entry to property.</w:t>
            </w:r>
          </w:p>
        </w:tc>
      </w:tr>
      <w:tr w:rsidR="00FC2ED5" w:rsidRPr="00FC2ED5" w14:paraId="1A3E226E" w14:textId="77777777" w:rsidTr="0064631C">
        <w:tc>
          <w:tcPr>
            <w:tcW w:w="970" w:type="dxa"/>
          </w:tcPr>
          <w:p w14:paraId="64FD05B0" w14:textId="79809E0F" w:rsidR="00CC393D" w:rsidRPr="00E806EE" w:rsidRDefault="00CC393D" w:rsidP="00E806EE">
            <w:pPr>
              <w:jc w:val="center"/>
              <w:rPr>
                <w:rFonts w:cstheme="minorHAnsi"/>
                <w:sz w:val="24"/>
                <w:szCs w:val="24"/>
              </w:rPr>
            </w:pPr>
            <w:r w:rsidRPr="00E806EE">
              <w:rPr>
                <w:rFonts w:cstheme="minorHAnsi"/>
                <w:sz w:val="24"/>
                <w:szCs w:val="24"/>
              </w:rPr>
              <w:t>1980</w:t>
            </w:r>
          </w:p>
        </w:tc>
        <w:tc>
          <w:tcPr>
            <w:tcW w:w="2693" w:type="dxa"/>
          </w:tcPr>
          <w:p w14:paraId="59D01C62" w14:textId="46D16CED" w:rsidR="00CC393D" w:rsidRPr="00FC2ED5" w:rsidRDefault="00CC393D"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Housing Act 1980</w:t>
            </w:r>
          </w:p>
        </w:tc>
        <w:tc>
          <w:tcPr>
            <w:tcW w:w="6379" w:type="dxa"/>
          </w:tcPr>
          <w:p w14:paraId="1FDDC793" w14:textId="480B33B3" w:rsidR="00CC393D" w:rsidRPr="00FC2ED5" w:rsidRDefault="00D63EC1" w:rsidP="004D3A8D">
            <w:pPr>
              <w:rPr>
                <w:rFonts w:cstheme="minorHAnsi"/>
              </w:rPr>
            </w:pPr>
            <w:r w:rsidRPr="00FC2ED5">
              <w:rPr>
                <w:rFonts w:cstheme="minorHAnsi"/>
              </w:rPr>
              <w:t>The Right to Buy scheme was introduced, allowing council tenants to purchase their homes at a discount</w:t>
            </w:r>
          </w:p>
        </w:tc>
      </w:tr>
      <w:tr w:rsidR="00FC2ED5" w:rsidRPr="00FC2ED5" w14:paraId="235529FB" w14:textId="77777777" w:rsidTr="0064631C">
        <w:tc>
          <w:tcPr>
            <w:tcW w:w="970" w:type="dxa"/>
          </w:tcPr>
          <w:p w14:paraId="5CBB8923" w14:textId="58E0D44D" w:rsidR="00CC393D" w:rsidRPr="00E806EE" w:rsidRDefault="00CC393D" w:rsidP="00E806EE">
            <w:pPr>
              <w:jc w:val="center"/>
              <w:rPr>
                <w:rFonts w:cstheme="minorHAnsi"/>
                <w:sz w:val="24"/>
                <w:szCs w:val="24"/>
              </w:rPr>
            </w:pPr>
            <w:r w:rsidRPr="00E806EE">
              <w:rPr>
                <w:rFonts w:cstheme="minorHAnsi"/>
                <w:sz w:val="24"/>
                <w:szCs w:val="24"/>
              </w:rPr>
              <w:t>1984</w:t>
            </w:r>
          </w:p>
        </w:tc>
        <w:tc>
          <w:tcPr>
            <w:tcW w:w="2693" w:type="dxa"/>
          </w:tcPr>
          <w:p w14:paraId="2188DFE1" w14:textId="7FC82590" w:rsidR="00CC393D" w:rsidRPr="00FC2ED5" w:rsidRDefault="00CC393D"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Building Act 1984</w:t>
            </w:r>
          </w:p>
        </w:tc>
        <w:tc>
          <w:tcPr>
            <w:tcW w:w="6379" w:type="dxa"/>
          </w:tcPr>
          <w:p w14:paraId="1B017E40" w14:textId="14022DBA" w:rsidR="00CC393D" w:rsidRPr="00FC2ED5" w:rsidRDefault="00CC393D" w:rsidP="004D3A8D">
            <w:pPr>
              <w:rPr>
                <w:rFonts w:cstheme="minorHAnsi"/>
              </w:rPr>
            </w:pPr>
            <w:r w:rsidRPr="00FC2ED5">
              <w:rPr>
                <w:rFonts w:cstheme="minorHAnsi"/>
              </w:rPr>
              <w:t xml:space="preserve">Consolidated Building Regulations </w:t>
            </w:r>
          </w:p>
        </w:tc>
      </w:tr>
      <w:tr w:rsidR="00FC2ED5" w:rsidRPr="00FC2ED5" w14:paraId="599C4370" w14:textId="77777777" w:rsidTr="0064631C">
        <w:tc>
          <w:tcPr>
            <w:tcW w:w="970" w:type="dxa"/>
          </w:tcPr>
          <w:p w14:paraId="134E21A7" w14:textId="37A84F96" w:rsidR="00CC393D" w:rsidRPr="00E806EE" w:rsidRDefault="003A1FF4" w:rsidP="00E806EE">
            <w:pPr>
              <w:jc w:val="center"/>
              <w:rPr>
                <w:rFonts w:cstheme="minorHAnsi"/>
                <w:sz w:val="24"/>
                <w:szCs w:val="24"/>
              </w:rPr>
            </w:pPr>
            <w:r w:rsidRPr="00E806EE">
              <w:rPr>
                <w:rFonts w:cstheme="minorHAnsi"/>
                <w:sz w:val="24"/>
                <w:szCs w:val="24"/>
              </w:rPr>
              <w:t>1985</w:t>
            </w:r>
          </w:p>
        </w:tc>
        <w:tc>
          <w:tcPr>
            <w:tcW w:w="2693" w:type="dxa"/>
          </w:tcPr>
          <w:p w14:paraId="376DD185" w14:textId="6719B42D" w:rsidR="00CC393D" w:rsidRPr="00FC2ED5" w:rsidRDefault="003A1FF4"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Landlord and Tenant Act 1985</w:t>
            </w:r>
          </w:p>
        </w:tc>
        <w:tc>
          <w:tcPr>
            <w:tcW w:w="6379" w:type="dxa"/>
          </w:tcPr>
          <w:p w14:paraId="0B0BAA98" w14:textId="7BDC1D3B" w:rsidR="00CC393D" w:rsidRPr="00FC2ED5" w:rsidRDefault="003A1FF4" w:rsidP="004D3A8D">
            <w:pPr>
              <w:rPr>
                <w:rFonts w:cstheme="minorHAnsi"/>
              </w:rPr>
            </w:pPr>
            <w:r w:rsidRPr="00FC2ED5">
              <w:rPr>
                <w:rFonts w:cstheme="minorHAnsi"/>
              </w:rPr>
              <w:t>Section 11 defines landlord is responsible for property maintenance.</w:t>
            </w:r>
          </w:p>
        </w:tc>
      </w:tr>
      <w:tr w:rsidR="00FC2ED5" w:rsidRPr="00FC2ED5" w14:paraId="32781C3E" w14:textId="77777777" w:rsidTr="0064631C">
        <w:tc>
          <w:tcPr>
            <w:tcW w:w="970" w:type="dxa"/>
          </w:tcPr>
          <w:p w14:paraId="4D71CD35" w14:textId="57D212A7" w:rsidR="003A1FF4" w:rsidRPr="00E806EE" w:rsidRDefault="003A1FF4" w:rsidP="00E806EE">
            <w:pPr>
              <w:jc w:val="center"/>
              <w:rPr>
                <w:rFonts w:cstheme="minorHAnsi"/>
                <w:sz w:val="24"/>
                <w:szCs w:val="24"/>
              </w:rPr>
            </w:pPr>
            <w:r w:rsidRPr="00E806EE">
              <w:rPr>
                <w:rFonts w:cstheme="minorHAnsi"/>
                <w:sz w:val="24"/>
                <w:szCs w:val="24"/>
              </w:rPr>
              <w:t>1986</w:t>
            </w:r>
          </w:p>
        </w:tc>
        <w:tc>
          <w:tcPr>
            <w:tcW w:w="2693" w:type="dxa"/>
          </w:tcPr>
          <w:p w14:paraId="21DA558E" w14:textId="5F8C1C2C" w:rsidR="003A1FF4" w:rsidRPr="00FC2ED5" w:rsidRDefault="003A1FF4"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Gas Act 1986</w:t>
            </w:r>
          </w:p>
        </w:tc>
        <w:tc>
          <w:tcPr>
            <w:tcW w:w="6379" w:type="dxa"/>
          </w:tcPr>
          <w:p w14:paraId="5010E042" w14:textId="076EA831" w:rsidR="003A1FF4" w:rsidRPr="00FC2ED5" w:rsidRDefault="003A1FF4" w:rsidP="004D3A8D">
            <w:pPr>
              <w:rPr>
                <w:rFonts w:cstheme="minorHAnsi"/>
              </w:rPr>
            </w:pPr>
            <w:r w:rsidRPr="00FC2ED5">
              <w:rPr>
                <w:rFonts w:cstheme="minorHAnsi"/>
              </w:rPr>
              <w:t>If gas is present, a contract is deemed to have arisen (with the occupier) as soon as a customer moves into a property.</w:t>
            </w:r>
          </w:p>
        </w:tc>
      </w:tr>
      <w:tr w:rsidR="00FC2ED5" w:rsidRPr="00FC2ED5" w14:paraId="166577FE" w14:textId="77777777" w:rsidTr="0064631C">
        <w:tc>
          <w:tcPr>
            <w:tcW w:w="970" w:type="dxa"/>
          </w:tcPr>
          <w:p w14:paraId="395D8B1F" w14:textId="2E64B225" w:rsidR="003A1FF4" w:rsidRPr="00E806EE" w:rsidRDefault="003A1FF4" w:rsidP="00E806EE">
            <w:pPr>
              <w:jc w:val="center"/>
              <w:rPr>
                <w:rFonts w:cstheme="minorHAnsi"/>
                <w:sz w:val="24"/>
                <w:szCs w:val="24"/>
              </w:rPr>
            </w:pPr>
            <w:r w:rsidRPr="00E806EE">
              <w:rPr>
                <w:rFonts w:cstheme="minorHAnsi"/>
                <w:sz w:val="24"/>
                <w:szCs w:val="24"/>
              </w:rPr>
              <w:t>1987</w:t>
            </w:r>
          </w:p>
        </w:tc>
        <w:tc>
          <w:tcPr>
            <w:tcW w:w="2693" w:type="dxa"/>
          </w:tcPr>
          <w:p w14:paraId="54AEFAE1" w14:textId="349FE594" w:rsidR="003A1FF4" w:rsidRPr="00ED5E15" w:rsidRDefault="003A1FF4" w:rsidP="004D3A8D">
            <w:pPr>
              <w:pStyle w:val="Heading2"/>
              <w:spacing w:before="0" w:beforeAutospacing="0" w:after="0" w:afterAutospacing="0"/>
              <w:rPr>
                <w:rFonts w:asciiTheme="minorHAnsi" w:hAnsiTheme="minorHAnsi" w:cstheme="minorHAnsi"/>
                <w:b w:val="0"/>
                <w:bCs w:val="0"/>
                <w:sz w:val="22"/>
                <w:szCs w:val="22"/>
              </w:rPr>
            </w:pPr>
            <w:r w:rsidRPr="00ED5E15">
              <w:rPr>
                <w:rFonts w:asciiTheme="minorHAnsi" w:hAnsiTheme="minorHAnsi" w:cstheme="minorHAnsi"/>
                <w:b w:val="0"/>
                <w:bCs w:val="0"/>
                <w:sz w:val="22"/>
                <w:szCs w:val="22"/>
              </w:rPr>
              <w:t>Consumer Protection Act 1987</w:t>
            </w:r>
          </w:p>
        </w:tc>
        <w:tc>
          <w:tcPr>
            <w:tcW w:w="6379" w:type="dxa"/>
          </w:tcPr>
          <w:p w14:paraId="57DB62AD" w14:textId="7B567B40" w:rsidR="003A1FF4" w:rsidRPr="00ED5E15" w:rsidRDefault="003A1FF4" w:rsidP="004D3A8D">
            <w:pPr>
              <w:rPr>
                <w:rFonts w:cstheme="minorHAnsi"/>
              </w:rPr>
            </w:pPr>
            <w:r w:rsidRPr="00ED5E15">
              <w:rPr>
                <w:rFonts w:cstheme="minorHAnsi"/>
              </w:rPr>
              <w:t>This Legislation means that landlords have a legal obligation and a duty of care to tenants to ensure that the electrical installation and the electrical equipment supplied is safe.</w:t>
            </w:r>
          </w:p>
        </w:tc>
      </w:tr>
      <w:tr w:rsidR="00ED5E15" w:rsidRPr="00FC2ED5" w14:paraId="4E79DEB5" w14:textId="77777777" w:rsidTr="0064631C">
        <w:tc>
          <w:tcPr>
            <w:tcW w:w="970" w:type="dxa"/>
            <w:vMerge w:val="restart"/>
          </w:tcPr>
          <w:p w14:paraId="2AB161B7" w14:textId="32EA6F84" w:rsidR="00ED5E15" w:rsidRPr="00E806EE" w:rsidRDefault="00ED5E15" w:rsidP="00E806EE">
            <w:pPr>
              <w:jc w:val="center"/>
              <w:rPr>
                <w:rFonts w:cstheme="minorHAnsi"/>
                <w:sz w:val="24"/>
                <w:szCs w:val="24"/>
              </w:rPr>
            </w:pPr>
            <w:r w:rsidRPr="00E806EE">
              <w:rPr>
                <w:rFonts w:cstheme="minorHAnsi"/>
                <w:sz w:val="24"/>
                <w:szCs w:val="24"/>
              </w:rPr>
              <w:t>1988</w:t>
            </w:r>
          </w:p>
        </w:tc>
        <w:tc>
          <w:tcPr>
            <w:tcW w:w="2693" w:type="dxa"/>
          </w:tcPr>
          <w:p w14:paraId="71FE6A71" w14:textId="3EE466A8" w:rsidR="00ED5E15" w:rsidRPr="00ED5E15" w:rsidRDefault="00ED5E15" w:rsidP="004D3A8D">
            <w:pPr>
              <w:pStyle w:val="Heading1"/>
              <w:spacing w:before="0"/>
              <w:rPr>
                <w:rFonts w:asciiTheme="minorHAnsi" w:hAnsiTheme="minorHAnsi" w:cstheme="minorHAnsi"/>
                <w:b w:val="0"/>
                <w:bCs w:val="0"/>
                <w:color w:val="auto"/>
                <w:sz w:val="22"/>
                <w:szCs w:val="22"/>
              </w:rPr>
            </w:pPr>
            <w:r w:rsidRPr="00ED5E15">
              <w:rPr>
                <w:rFonts w:asciiTheme="minorHAnsi" w:hAnsiTheme="minorHAnsi" w:cstheme="minorHAnsi"/>
                <w:b w:val="0"/>
                <w:bCs w:val="0"/>
                <w:color w:val="auto"/>
                <w:sz w:val="22"/>
                <w:szCs w:val="22"/>
              </w:rPr>
              <w:t>Furniture and Furnishings (Fire Safety) Regulations 1988/1989, 1993 and 2010</w:t>
            </w:r>
          </w:p>
        </w:tc>
        <w:tc>
          <w:tcPr>
            <w:tcW w:w="6379" w:type="dxa"/>
          </w:tcPr>
          <w:p w14:paraId="48465D66" w14:textId="4E194CE4" w:rsidR="00ED5E15" w:rsidRPr="00ED5E15" w:rsidRDefault="00ED5E15" w:rsidP="004D3A8D">
            <w:pPr>
              <w:rPr>
                <w:rFonts w:cstheme="minorHAnsi"/>
              </w:rPr>
            </w:pPr>
            <w:r w:rsidRPr="00ED5E15">
              <w:rPr>
                <w:rFonts w:cstheme="minorHAnsi"/>
                <w:shd w:val="clear" w:color="auto" w:fill="FFFFFF"/>
              </w:rPr>
              <w:t>Set levels of fire resistance for domestic upholstered furniture, furnishings and other products containing upholstery. </w:t>
            </w:r>
          </w:p>
        </w:tc>
      </w:tr>
      <w:tr w:rsidR="00ED5E15" w:rsidRPr="00FC2ED5" w14:paraId="3175D4B9" w14:textId="77777777" w:rsidTr="0064631C">
        <w:tc>
          <w:tcPr>
            <w:tcW w:w="970" w:type="dxa"/>
            <w:vMerge/>
          </w:tcPr>
          <w:p w14:paraId="6865F07D" w14:textId="1F8B0278" w:rsidR="00ED5E15" w:rsidRPr="00E806EE" w:rsidRDefault="00ED5E15" w:rsidP="00E806EE">
            <w:pPr>
              <w:jc w:val="center"/>
              <w:rPr>
                <w:rFonts w:cstheme="minorHAnsi"/>
                <w:sz w:val="24"/>
                <w:szCs w:val="24"/>
              </w:rPr>
            </w:pPr>
          </w:p>
        </w:tc>
        <w:tc>
          <w:tcPr>
            <w:tcW w:w="2693" w:type="dxa"/>
          </w:tcPr>
          <w:p w14:paraId="29C7EC97" w14:textId="404496F2" w:rsidR="00ED5E15" w:rsidRPr="00ED5E15" w:rsidRDefault="00ED5E15" w:rsidP="004D3A8D">
            <w:pPr>
              <w:pStyle w:val="Heading2"/>
              <w:spacing w:before="0" w:beforeAutospacing="0" w:after="0" w:afterAutospacing="0"/>
              <w:rPr>
                <w:rFonts w:asciiTheme="minorHAnsi" w:hAnsiTheme="minorHAnsi" w:cstheme="minorHAnsi"/>
                <w:b w:val="0"/>
                <w:bCs w:val="0"/>
                <w:sz w:val="22"/>
                <w:szCs w:val="22"/>
              </w:rPr>
            </w:pPr>
            <w:r w:rsidRPr="00ED5E15">
              <w:rPr>
                <w:rFonts w:asciiTheme="minorHAnsi" w:hAnsiTheme="minorHAnsi" w:cstheme="minorHAnsi"/>
                <w:b w:val="0"/>
                <w:bCs w:val="0"/>
                <w:sz w:val="22"/>
                <w:szCs w:val="22"/>
              </w:rPr>
              <w:t>Housing Act 1988</w:t>
            </w:r>
          </w:p>
        </w:tc>
        <w:tc>
          <w:tcPr>
            <w:tcW w:w="6379" w:type="dxa"/>
          </w:tcPr>
          <w:p w14:paraId="75CC1606" w14:textId="16155ABD" w:rsidR="00ED5E15" w:rsidRPr="00ED5E15" w:rsidRDefault="00ED5E15" w:rsidP="004D3A8D">
            <w:pPr>
              <w:rPr>
                <w:rFonts w:cstheme="minorHAnsi"/>
              </w:rPr>
            </w:pPr>
            <w:r w:rsidRPr="00ED5E15">
              <w:rPr>
                <w:rFonts w:cstheme="minorHAnsi"/>
              </w:rPr>
              <w:t>This Act revolutionized the private rental sector by introducing Assured Shorthold Tenancies (ASTs) as the default tenancy type. It provided more flexibility for landlords and simplified the process of regaining possession</w:t>
            </w:r>
          </w:p>
        </w:tc>
      </w:tr>
      <w:tr w:rsidR="00FC2ED5" w:rsidRPr="00FC2ED5" w14:paraId="284CBA6D" w14:textId="77777777" w:rsidTr="0064631C">
        <w:tc>
          <w:tcPr>
            <w:tcW w:w="970" w:type="dxa"/>
          </w:tcPr>
          <w:p w14:paraId="058760ED" w14:textId="566A60AF" w:rsidR="00292D57" w:rsidRPr="00E806EE" w:rsidRDefault="00292D57" w:rsidP="00E806EE">
            <w:pPr>
              <w:jc w:val="center"/>
              <w:rPr>
                <w:rFonts w:cstheme="minorHAnsi"/>
                <w:sz w:val="24"/>
                <w:szCs w:val="24"/>
              </w:rPr>
            </w:pPr>
            <w:r w:rsidRPr="00E806EE">
              <w:rPr>
                <w:rFonts w:cstheme="minorHAnsi"/>
                <w:sz w:val="24"/>
                <w:szCs w:val="24"/>
              </w:rPr>
              <w:t>1989</w:t>
            </w:r>
          </w:p>
        </w:tc>
        <w:tc>
          <w:tcPr>
            <w:tcW w:w="2693" w:type="dxa"/>
          </w:tcPr>
          <w:p w14:paraId="359E05AB" w14:textId="7A5308DC" w:rsidR="00292D57" w:rsidRPr="00ED5E15" w:rsidRDefault="00292D57" w:rsidP="004D3A8D">
            <w:pPr>
              <w:pStyle w:val="Heading2"/>
              <w:spacing w:before="0" w:beforeAutospacing="0" w:after="0" w:afterAutospacing="0"/>
              <w:rPr>
                <w:rFonts w:asciiTheme="minorHAnsi" w:hAnsiTheme="minorHAnsi" w:cstheme="minorHAnsi"/>
                <w:b w:val="0"/>
                <w:bCs w:val="0"/>
                <w:sz w:val="22"/>
                <w:szCs w:val="22"/>
              </w:rPr>
            </w:pPr>
            <w:r w:rsidRPr="00ED5E15">
              <w:rPr>
                <w:rFonts w:asciiTheme="minorHAnsi" w:hAnsiTheme="minorHAnsi" w:cstheme="minorHAnsi"/>
                <w:b w:val="0"/>
                <w:bCs w:val="0"/>
                <w:sz w:val="22"/>
                <w:szCs w:val="22"/>
              </w:rPr>
              <w:t>Electricity Act 1989</w:t>
            </w:r>
          </w:p>
        </w:tc>
        <w:tc>
          <w:tcPr>
            <w:tcW w:w="6379" w:type="dxa"/>
          </w:tcPr>
          <w:p w14:paraId="0A4C32FD" w14:textId="0D94D71A" w:rsidR="00292D57" w:rsidRPr="00ED5E15" w:rsidRDefault="00FC4751" w:rsidP="004D3A8D">
            <w:pPr>
              <w:rPr>
                <w:rFonts w:cstheme="minorHAnsi"/>
              </w:rPr>
            </w:pPr>
            <w:proofErr w:type="gramStart"/>
            <w:r w:rsidRPr="00ED5E15">
              <w:rPr>
                <w:rFonts w:cstheme="minorHAnsi"/>
              </w:rPr>
              <w:t>Similar to</w:t>
            </w:r>
            <w:proofErr w:type="gramEnd"/>
            <w:r w:rsidRPr="00ED5E15">
              <w:rPr>
                <w:rFonts w:cstheme="minorHAnsi"/>
              </w:rPr>
              <w:t xml:space="preserve"> Gas Act 1986</w:t>
            </w:r>
          </w:p>
        </w:tc>
      </w:tr>
      <w:tr w:rsidR="00FC2ED5" w:rsidRPr="00FC2ED5" w14:paraId="3000F0E1" w14:textId="77777777" w:rsidTr="0064631C">
        <w:tc>
          <w:tcPr>
            <w:tcW w:w="970" w:type="dxa"/>
          </w:tcPr>
          <w:p w14:paraId="2C3DF5DE" w14:textId="6765D141" w:rsidR="00FC4751" w:rsidRPr="00E806EE" w:rsidRDefault="007F3031" w:rsidP="00E806EE">
            <w:pPr>
              <w:jc w:val="center"/>
              <w:rPr>
                <w:rFonts w:cstheme="minorHAnsi"/>
                <w:sz w:val="24"/>
                <w:szCs w:val="24"/>
              </w:rPr>
            </w:pPr>
            <w:r w:rsidRPr="00E806EE">
              <w:rPr>
                <w:rFonts w:cstheme="minorHAnsi"/>
                <w:sz w:val="24"/>
                <w:szCs w:val="24"/>
              </w:rPr>
              <w:t>1990</w:t>
            </w:r>
          </w:p>
        </w:tc>
        <w:tc>
          <w:tcPr>
            <w:tcW w:w="2693" w:type="dxa"/>
          </w:tcPr>
          <w:p w14:paraId="600DFD52" w14:textId="59816029" w:rsidR="00FC4751" w:rsidRPr="00ED5E15" w:rsidRDefault="007F3031" w:rsidP="004D3A8D">
            <w:pPr>
              <w:pStyle w:val="Heading2"/>
              <w:spacing w:before="0" w:beforeAutospacing="0" w:after="0" w:afterAutospacing="0"/>
              <w:rPr>
                <w:rFonts w:asciiTheme="minorHAnsi" w:hAnsiTheme="minorHAnsi" w:cstheme="minorHAnsi"/>
                <w:b w:val="0"/>
                <w:bCs w:val="0"/>
                <w:sz w:val="22"/>
                <w:szCs w:val="22"/>
              </w:rPr>
            </w:pPr>
            <w:r w:rsidRPr="00ED5E15">
              <w:rPr>
                <w:rFonts w:asciiTheme="minorHAnsi" w:hAnsiTheme="minorHAnsi" w:cstheme="minorHAnsi"/>
                <w:b w:val="0"/>
                <w:bCs w:val="0"/>
                <w:sz w:val="22"/>
                <w:szCs w:val="22"/>
              </w:rPr>
              <w:t>Environmental Protection Act 1990</w:t>
            </w:r>
          </w:p>
        </w:tc>
        <w:tc>
          <w:tcPr>
            <w:tcW w:w="6379" w:type="dxa"/>
          </w:tcPr>
          <w:p w14:paraId="13BC0B0F" w14:textId="59ACAC78" w:rsidR="00FC4751" w:rsidRPr="00ED5E15" w:rsidRDefault="007F3031" w:rsidP="004D3A8D">
            <w:pPr>
              <w:rPr>
                <w:rFonts w:cstheme="minorHAnsi"/>
              </w:rPr>
            </w:pPr>
            <w:r w:rsidRPr="00ED5E15">
              <w:rPr>
                <w:rFonts w:cstheme="minorHAnsi"/>
              </w:rPr>
              <w:t xml:space="preserve">Provided allowances for tenants to pursue prosecution of landlords where poor housing conditions are considered a “statutory nuisance” and/or “prejudicial to health”. Cases typically arise around properties where a “nuisance” results from emissions of smoke, fumes, and gases, or other factors such as damp, noise, </w:t>
            </w:r>
            <w:proofErr w:type="gramStart"/>
            <w:r w:rsidRPr="00ED5E15">
              <w:rPr>
                <w:rFonts w:cstheme="minorHAnsi"/>
              </w:rPr>
              <w:t>light</w:t>
            </w:r>
            <w:proofErr w:type="gramEnd"/>
            <w:r w:rsidRPr="00ED5E15">
              <w:rPr>
                <w:rFonts w:cstheme="minorHAnsi"/>
              </w:rPr>
              <w:t xml:space="preserve"> or waste levels impacting the local environment.</w:t>
            </w:r>
          </w:p>
        </w:tc>
      </w:tr>
      <w:tr w:rsidR="00FC2ED5" w:rsidRPr="00FC2ED5" w14:paraId="3E426967" w14:textId="77777777" w:rsidTr="0064631C">
        <w:tc>
          <w:tcPr>
            <w:tcW w:w="970" w:type="dxa"/>
          </w:tcPr>
          <w:p w14:paraId="5C3B9B10" w14:textId="61858613" w:rsidR="007F3031" w:rsidRPr="00E806EE" w:rsidRDefault="00B75D04" w:rsidP="00E806EE">
            <w:pPr>
              <w:jc w:val="center"/>
              <w:rPr>
                <w:rFonts w:cstheme="minorHAnsi"/>
                <w:sz w:val="24"/>
                <w:szCs w:val="24"/>
              </w:rPr>
            </w:pPr>
            <w:r w:rsidRPr="00E806EE">
              <w:rPr>
                <w:rFonts w:cstheme="minorHAnsi"/>
                <w:sz w:val="24"/>
                <w:szCs w:val="24"/>
              </w:rPr>
              <w:t>1995</w:t>
            </w:r>
          </w:p>
        </w:tc>
        <w:tc>
          <w:tcPr>
            <w:tcW w:w="2693" w:type="dxa"/>
          </w:tcPr>
          <w:p w14:paraId="75B89970" w14:textId="36F7FD14" w:rsidR="007F3031" w:rsidRPr="00FC2ED5" w:rsidRDefault="00B75D04"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Disability Discrimination Act 1995</w:t>
            </w:r>
          </w:p>
        </w:tc>
        <w:tc>
          <w:tcPr>
            <w:tcW w:w="6379" w:type="dxa"/>
          </w:tcPr>
          <w:p w14:paraId="45E35BB8" w14:textId="77041DAF" w:rsidR="007F3031" w:rsidRPr="00FC2ED5" w:rsidRDefault="001D31DE" w:rsidP="004D3A8D">
            <w:pPr>
              <w:rPr>
                <w:rFonts w:cstheme="minorHAnsi"/>
              </w:rPr>
            </w:pPr>
            <w:r w:rsidRPr="00FC2ED5">
              <w:rPr>
                <w:rFonts w:cstheme="minorHAnsi"/>
              </w:rPr>
              <w:t xml:space="preserve">Made it unlawful to discriminate </w:t>
            </w:r>
            <w:proofErr w:type="gramStart"/>
            <w:r w:rsidRPr="00FC2ED5">
              <w:rPr>
                <w:rFonts w:cstheme="minorHAnsi"/>
              </w:rPr>
              <w:t>on the basis of</w:t>
            </w:r>
            <w:proofErr w:type="gramEnd"/>
            <w:r w:rsidRPr="00FC2ED5">
              <w:rPr>
                <w:rFonts w:cstheme="minorHAnsi"/>
              </w:rPr>
              <w:t xml:space="preserve"> an individual’s disability, regarding employment, provision of goods and services, education and transport. In relation to housing, the legislation protects the disabled and those with mental health difficulties from eviction and other actions which could jeopardise their health or safety. Significantly, the Act’s stipulations apply regardless of the landlord’s knowledge of their tenants’ disability.</w:t>
            </w:r>
          </w:p>
        </w:tc>
      </w:tr>
      <w:tr w:rsidR="002564D3" w:rsidRPr="00FC2ED5" w14:paraId="4D4DEBD1" w14:textId="77777777" w:rsidTr="0064631C">
        <w:tc>
          <w:tcPr>
            <w:tcW w:w="970" w:type="dxa"/>
            <w:vMerge w:val="restart"/>
          </w:tcPr>
          <w:p w14:paraId="7F64CB70" w14:textId="6913B852" w:rsidR="002564D3" w:rsidRPr="00E806EE" w:rsidRDefault="002564D3" w:rsidP="00E806EE">
            <w:pPr>
              <w:jc w:val="center"/>
              <w:rPr>
                <w:rFonts w:cstheme="minorHAnsi"/>
                <w:sz w:val="24"/>
                <w:szCs w:val="24"/>
              </w:rPr>
            </w:pPr>
            <w:r w:rsidRPr="00E806EE">
              <w:rPr>
                <w:rFonts w:cstheme="minorHAnsi"/>
                <w:sz w:val="24"/>
                <w:szCs w:val="24"/>
              </w:rPr>
              <w:lastRenderedPageBreak/>
              <w:t>1996</w:t>
            </w:r>
          </w:p>
        </w:tc>
        <w:tc>
          <w:tcPr>
            <w:tcW w:w="2693" w:type="dxa"/>
          </w:tcPr>
          <w:p w14:paraId="58DD7C33" w14:textId="2CE13D76" w:rsidR="002564D3" w:rsidRPr="00FC2ED5" w:rsidRDefault="002564D3"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Housing Act 1996</w:t>
            </w:r>
          </w:p>
        </w:tc>
        <w:tc>
          <w:tcPr>
            <w:tcW w:w="6379" w:type="dxa"/>
          </w:tcPr>
          <w:p w14:paraId="43F29BC0" w14:textId="45C3D6E6" w:rsidR="002564D3" w:rsidRPr="00FC2ED5" w:rsidRDefault="002564D3" w:rsidP="004D3A8D">
            <w:pPr>
              <w:rPr>
                <w:rFonts w:cstheme="minorHAnsi"/>
              </w:rPr>
            </w:pPr>
            <w:r w:rsidRPr="00FC2ED5">
              <w:rPr>
                <w:rFonts w:cstheme="minorHAnsi"/>
              </w:rPr>
              <w:t>Mostly aimed at Councils and Social Landlords.  Addressed homelessness and housing allocation, introducing measures to assess and assist homeless individuals and families.</w:t>
            </w:r>
          </w:p>
        </w:tc>
      </w:tr>
      <w:tr w:rsidR="002564D3" w:rsidRPr="00FC2ED5" w14:paraId="3252E8D4" w14:textId="77777777" w:rsidTr="0064631C">
        <w:tc>
          <w:tcPr>
            <w:tcW w:w="970" w:type="dxa"/>
            <w:vMerge/>
          </w:tcPr>
          <w:p w14:paraId="32DB7CF3" w14:textId="77777777" w:rsidR="002564D3" w:rsidRPr="00E806EE" w:rsidRDefault="002564D3" w:rsidP="00E806EE">
            <w:pPr>
              <w:jc w:val="center"/>
              <w:rPr>
                <w:rFonts w:cstheme="minorHAnsi"/>
                <w:sz w:val="24"/>
                <w:szCs w:val="24"/>
              </w:rPr>
            </w:pPr>
          </w:p>
        </w:tc>
        <w:tc>
          <w:tcPr>
            <w:tcW w:w="2693" w:type="dxa"/>
          </w:tcPr>
          <w:p w14:paraId="29554742" w14:textId="7389670E" w:rsidR="002564D3" w:rsidRPr="002564D3" w:rsidRDefault="002564D3" w:rsidP="004D3A8D">
            <w:pPr>
              <w:pStyle w:val="Heading2"/>
              <w:spacing w:before="0" w:beforeAutospacing="0" w:after="0" w:afterAutospacing="0"/>
              <w:rPr>
                <w:rFonts w:asciiTheme="minorHAnsi" w:hAnsiTheme="minorHAnsi" w:cstheme="minorHAnsi"/>
                <w:b w:val="0"/>
                <w:bCs w:val="0"/>
                <w:sz w:val="22"/>
                <w:szCs w:val="22"/>
              </w:rPr>
            </w:pPr>
            <w:r w:rsidRPr="002564D3">
              <w:rPr>
                <w:rFonts w:asciiTheme="minorHAnsi" w:hAnsiTheme="minorHAnsi" w:cstheme="minorHAnsi"/>
                <w:b w:val="0"/>
                <w:bCs w:val="0"/>
                <w:sz w:val="22"/>
                <w:szCs w:val="22"/>
              </w:rPr>
              <w:t>Party Wall Etc Act 1996</w:t>
            </w:r>
          </w:p>
        </w:tc>
        <w:tc>
          <w:tcPr>
            <w:tcW w:w="6379" w:type="dxa"/>
          </w:tcPr>
          <w:p w14:paraId="479B77E2" w14:textId="7D9C3D3C" w:rsidR="002564D3" w:rsidRPr="00FC2ED5" w:rsidRDefault="002564D3" w:rsidP="004D3A8D">
            <w:pPr>
              <w:rPr>
                <w:rFonts w:cstheme="minorHAnsi"/>
              </w:rPr>
            </w:pPr>
            <w:r>
              <w:t>Requirement to give notices in relation to party wall work</w:t>
            </w:r>
          </w:p>
        </w:tc>
      </w:tr>
      <w:tr w:rsidR="002564D3" w:rsidRPr="00FC2ED5" w14:paraId="0FF24990" w14:textId="77777777" w:rsidTr="0064631C">
        <w:tc>
          <w:tcPr>
            <w:tcW w:w="970" w:type="dxa"/>
            <w:vMerge/>
          </w:tcPr>
          <w:p w14:paraId="059A09A4" w14:textId="77777777" w:rsidR="002564D3" w:rsidRPr="00E806EE" w:rsidRDefault="002564D3" w:rsidP="00E806EE">
            <w:pPr>
              <w:jc w:val="center"/>
              <w:rPr>
                <w:rFonts w:cstheme="minorHAnsi"/>
                <w:sz w:val="24"/>
                <w:szCs w:val="24"/>
              </w:rPr>
            </w:pPr>
          </w:p>
        </w:tc>
        <w:tc>
          <w:tcPr>
            <w:tcW w:w="2693" w:type="dxa"/>
          </w:tcPr>
          <w:p w14:paraId="017091C1" w14:textId="7770238D" w:rsidR="002564D3" w:rsidRPr="002564D3" w:rsidRDefault="002564D3" w:rsidP="004D3A8D">
            <w:pPr>
              <w:pStyle w:val="Heading2"/>
              <w:spacing w:before="0" w:beforeAutospacing="0" w:after="0" w:afterAutospacing="0"/>
              <w:rPr>
                <w:rFonts w:asciiTheme="minorHAnsi" w:hAnsiTheme="minorHAnsi" w:cstheme="minorHAnsi"/>
                <w:b w:val="0"/>
                <w:bCs w:val="0"/>
                <w:sz w:val="22"/>
                <w:szCs w:val="22"/>
              </w:rPr>
            </w:pPr>
            <w:r w:rsidRPr="002564D3">
              <w:rPr>
                <w:rFonts w:asciiTheme="minorHAnsi" w:hAnsiTheme="minorHAnsi" w:cstheme="minorHAnsi"/>
                <w:b w:val="0"/>
                <w:bCs w:val="0"/>
                <w:sz w:val="22"/>
                <w:szCs w:val="22"/>
              </w:rPr>
              <w:t>Family Law Act 1996</w:t>
            </w:r>
          </w:p>
        </w:tc>
        <w:tc>
          <w:tcPr>
            <w:tcW w:w="6379" w:type="dxa"/>
          </w:tcPr>
          <w:p w14:paraId="56943CEE" w14:textId="1194891E" w:rsidR="002564D3" w:rsidRPr="00FC2ED5" w:rsidRDefault="002564D3" w:rsidP="004D3A8D">
            <w:pPr>
              <w:rPr>
                <w:rFonts w:cstheme="minorHAnsi"/>
              </w:rPr>
            </w:pPr>
            <w:r>
              <w:t>Deals with security of tenure for spouses where the departing partner is the sole named tenant</w:t>
            </w:r>
          </w:p>
        </w:tc>
      </w:tr>
      <w:tr w:rsidR="00FC2ED5" w:rsidRPr="00FC2ED5" w14:paraId="13886398" w14:textId="77777777" w:rsidTr="0064631C">
        <w:tc>
          <w:tcPr>
            <w:tcW w:w="970" w:type="dxa"/>
          </w:tcPr>
          <w:p w14:paraId="5FD18B5B" w14:textId="6B807695" w:rsidR="00471532" w:rsidRPr="00E806EE" w:rsidRDefault="00471532" w:rsidP="00E806EE">
            <w:pPr>
              <w:jc w:val="center"/>
              <w:rPr>
                <w:rFonts w:cstheme="minorHAnsi"/>
                <w:sz w:val="24"/>
                <w:szCs w:val="24"/>
              </w:rPr>
            </w:pPr>
            <w:r w:rsidRPr="00E806EE">
              <w:rPr>
                <w:rFonts w:cstheme="minorHAnsi"/>
                <w:sz w:val="24"/>
                <w:szCs w:val="24"/>
              </w:rPr>
              <w:t>1997</w:t>
            </w:r>
          </w:p>
        </w:tc>
        <w:tc>
          <w:tcPr>
            <w:tcW w:w="2693" w:type="dxa"/>
          </w:tcPr>
          <w:p w14:paraId="04DC0618" w14:textId="77978BFE" w:rsidR="00471532" w:rsidRPr="00FC2ED5" w:rsidRDefault="00471532"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Protection from Harassment Act 1997</w:t>
            </w:r>
          </w:p>
        </w:tc>
        <w:tc>
          <w:tcPr>
            <w:tcW w:w="6379" w:type="dxa"/>
          </w:tcPr>
          <w:p w14:paraId="07E266A4" w14:textId="2EA2445D" w:rsidR="00471532" w:rsidRPr="00FC2ED5" w:rsidRDefault="00D27AE9" w:rsidP="004D3A8D">
            <w:pPr>
              <w:rPr>
                <w:rFonts w:cstheme="minorHAnsi"/>
              </w:rPr>
            </w:pPr>
            <w:r w:rsidRPr="00FC2ED5">
              <w:rPr>
                <w:rFonts w:cstheme="minorHAnsi"/>
              </w:rPr>
              <w:t>Outlaw</w:t>
            </w:r>
            <w:r w:rsidR="00E34DCD">
              <w:rPr>
                <w:rFonts w:cstheme="minorHAnsi"/>
              </w:rPr>
              <w:t>ed</w:t>
            </w:r>
            <w:r w:rsidRPr="00FC2ED5">
              <w:rPr>
                <w:rFonts w:cstheme="minorHAnsi"/>
              </w:rPr>
              <w:t xml:space="preserve"> harassment of an </w:t>
            </w:r>
            <w:proofErr w:type="gramStart"/>
            <w:r w:rsidRPr="00FC2ED5">
              <w:rPr>
                <w:rFonts w:cstheme="minorHAnsi"/>
              </w:rPr>
              <w:t>individual, and</w:t>
            </w:r>
            <w:proofErr w:type="gramEnd"/>
            <w:r w:rsidRPr="00FC2ED5">
              <w:rPr>
                <w:rFonts w:cstheme="minorHAnsi"/>
              </w:rPr>
              <w:t xml:space="preserve"> protect victims of harassment.</w:t>
            </w:r>
          </w:p>
        </w:tc>
      </w:tr>
      <w:tr w:rsidR="00FC2ED5" w:rsidRPr="00FC2ED5" w14:paraId="3214FBD2" w14:textId="77777777" w:rsidTr="0064631C">
        <w:tc>
          <w:tcPr>
            <w:tcW w:w="970" w:type="dxa"/>
          </w:tcPr>
          <w:p w14:paraId="42CAC9A3" w14:textId="53425FE6" w:rsidR="00D258C8" w:rsidRPr="00E806EE" w:rsidRDefault="00D258C8" w:rsidP="00E806EE">
            <w:pPr>
              <w:jc w:val="center"/>
              <w:rPr>
                <w:rFonts w:cstheme="minorHAnsi"/>
                <w:sz w:val="24"/>
                <w:szCs w:val="24"/>
              </w:rPr>
            </w:pPr>
            <w:r w:rsidRPr="00E806EE">
              <w:rPr>
                <w:rFonts w:cstheme="minorHAnsi"/>
                <w:sz w:val="24"/>
                <w:szCs w:val="24"/>
              </w:rPr>
              <w:t>1998</w:t>
            </w:r>
          </w:p>
        </w:tc>
        <w:tc>
          <w:tcPr>
            <w:tcW w:w="2693" w:type="dxa"/>
          </w:tcPr>
          <w:p w14:paraId="78A63A5E" w14:textId="2B834F91" w:rsidR="00D258C8" w:rsidRPr="00FC2ED5" w:rsidRDefault="00D258C8"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Gas Safety (Installation and use) Regulations 1998</w:t>
            </w:r>
          </w:p>
        </w:tc>
        <w:tc>
          <w:tcPr>
            <w:tcW w:w="6379" w:type="dxa"/>
          </w:tcPr>
          <w:p w14:paraId="1C1A2548" w14:textId="4A9EF489" w:rsidR="00D258C8" w:rsidRPr="00FC2ED5" w:rsidRDefault="00D258C8" w:rsidP="004D3A8D">
            <w:pPr>
              <w:rPr>
                <w:rFonts w:cstheme="minorHAnsi"/>
              </w:rPr>
            </w:pPr>
            <w:r w:rsidRPr="00FC2ED5">
              <w:rPr>
                <w:rFonts w:cstheme="minorHAnsi"/>
              </w:rPr>
              <w:t xml:space="preserve">Introduced annual gas safety checks. </w:t>
            </w:r>
          </w:p>
        </w:tc>
      </w:tr>
      <w:tr w:rsidR="003D7286" w:rsidRPr="00FC2ED5" w14:paraId="437DCDF4" w14:textId="77777777" w:rsidTr="0064631C">
        <w:tc>
          <w:tcPr>
            <w:tcW w:w="970" w:type="dxa"/>
          </w:tcPr>
          <w:p w14:paraId="1BB41082" w14:textId="14491F34" w:rsidR="003D7286" w:rsidRPr="00E806EE" w:rsidRDefault="00880615" w:rsidP="00E806EE">
            <w:pPr>
              <w:jc w:val="center"/>
              <w:rPr>
                <w:rFonts w:cstheme="minorHAnsi"/>
                <w:sz w:val="24"/>
                <w:szCs w:val="24"/>
              </w:rPr>
            </w:pPr>
            <w:r w:rsidRPr="00E806EE">
              <w:rPr>
                <w:rFonts w:cstheme="minorHAnsi"/>
                <w:sz w:val="24"/>
                <w:szCs w:val="24"/>
              </w:rPr>
              <w:t>1999</w:t>
            </w:r>
          </w:p>
        </w:tc>
        <w:tc>
          <w:tcPr>
            <w:tcW w:w="2693" w:type="dxa"/>
          </w:tcPr>
          <w:p w14:paraId="65E9FD80" w14:textId="6CD9FFFA" w:rsidR="003D7286" w:rsidRPr="00880615" w:rsidRDefault="00880615" w:rsidP="004D3A8D">
            <w:pPr>
              <w:pStyle w:val="Heading2"/>
              <w:tabs>
                <w:tab w:val="left" w:pos="460"/>
              </w:tabs>
              <w:spacing w:before="0" w:beforeAutospacing="0" w:after="0" w:afterAutospacing="0"/>
              <w:rPr>
                <w:rFonts w:asciiTheme="minorHAnsi" w:hAnsiTheme="minorHAnsi" w:cstheme="minorHAnsi"/>
                <w:b w:val="0"/>
                <w:bCs w:val="0"/>
                <w:sz w:val="20"/>
                <w:szCs w:val="20"/>
              </w:rPr>
            </w:pPr>
            <w:r w:rsidRPr="00880615">
              <w:rPr>
                <w:rFonts w:asciiTheme="minorHAnsi" w:hAnsiTheme="minorHAnsi" w:cstheme="minorHAnsi"/>
                <w:b w:val="0"/>
                <w:bCs w:val="0"/>
                <w:sz w:val="20"/>
                <w:szCs w:val="20"/>
              </w:rPr>
              <w:t>Rent Act (Maximum Fair Rent) Order 1999</w:t>
            </w:r>
          </w:p>
        </w:tc>
        <w:tc>
          <w:tcPr>
            <w:tcW w:w="6379" w:type="dxa"/>
          </w:tcPr>
          <w:p w14:paraId="5CAF1321" w14:textId="47168471" w:rsidR="003D7286" w:rsidRPr="00FC2ED5" w:rsidRDefault="00880615" w:rsidP="004D3A8D">
            <w:pPr>
              <w:rPr>
                <w:rFonts w:cstheme="minorHAnsi"/>
              </w:rPr>
            </w:pPr>
            <w:r>
              <w:rPr>
                <w:rFonts w:cstheme="minorHAnsi"/>
              </w:rPr>
              <w:t>Introduced a f</w:t>
            </w:r>
            <w:r>
              <w:t>ormula for calculating maximum fair rent for Rent Act regulated tenancies.</w:t>
            </w:r>
          </w:p>
        </w:tc>
      </w:tr>
      <w:tr w:rsidR="003D7286" w:rsidRPr="00FC2ED5" w14:paraId="073A798E" w14:textId="77777777" w:rsidTr="0064631C">
        <w:tc>
          <w:tcPr>
            <w:tcW w:w="970" w:type="dxa"/>
            <w:vMerge w:val="restart"/>
          </w:tcPr>
          <w:p w14:paraId="2D266850" w14:textId="1F0A188E" w:rsidR="003D7286" w:rsidRPr="00E806EE" w:rsidRDefault="003D7286" w:rsidP="00E806EE">
            <w:pPr>
              <w:jc w:val="center"/>
              <w:rPr>
                <w:rFonts w:cstheme="minorHAnsi"/>
                <w:sz w:val="24"/>
                <w:szCs w:val="24"/>
              </w:rPr>
            </w:pPr>
            <w:r w:rsidRPr="00E806EE">
              <w:rPr>
                <w:rFonts w:cstheme="minorHAnsi"/>
                <w:sz w:val="24"/>
                <w:szCs w:val="24"/>
              </w:rPr>
              <w:t>2000</w:t>
            </w:r>
          </w:p>
        </w:tc>
        <w:tc>
          <w:tcPr>
            <w:tcW w:w="2693" w:type="dxa"/>
          </w:tcPr>
          <w:p w14:paraId="357C8F9E" w14:textId="0000820C" w:rsidR="003D7286" w:rsidRPr="00FC2ED5" w:rsidRDefault="003D7286"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Building Regulations 2000</w:t>
            </w:r>
          </w:p>
        </w:tc>
        <w:tc>
          <w:tcPr>
            <w:tcW w:w="6379" w:type="dxa"/>
          </w:tcPr>
          <w:p w14:paraId="069E6FFA" w14:textId="402B80A2" w:rsidR="003D7286" w:rsidRPr="00FC2ED5" w:rsidRDefault="003D7286" w:rsidP="004D3A8D">
            <w:pPr>
              <w:rPr>
                <w:rFonts w:cstheme="minorHAnsi"/>
              </w:rPr>
            </w:pPr>
            <w:r w:rsidRPr="00FC2ED5">
              <w:rPr>
                <w:rFonts w:cstheme="minorHAnsi"/>
              </w:rPr>
              <w:t>Substantially expanded requirements when carrying out building work.</w:t>
            </w:r>
          </w:p>
        </w:tc>
      </w:tr>
      <w:tr w:rsidR="003D7286" w:rsidRPr="00FC2ED5" w14:paraId="64448AB0" w14:textId="77777777" w:rsidTr="0064631C">
        <w:tc>
          <w:tcPr>
            <w:tcW w:w="970" w:type="dxa"/>
            <w:vMerge/>
          </w:tcPr>
          <w:p w14:paraId="501966D3" w14:textId="77777777" w:rsidR="003D7286" w:rsidRPr="00E806EE" w:rsidRDefault="003D7286" w:rsidP="00E806EE">
            <w:pPr>
              <w:jc w:val="center"/>
              <w:rPr>
                <w:rFonts w:cstheme="minorHAnsi"/>
                <w:sz w:val="24"/>
                <w:szCs w:val="24"/>
              </w:rPr>
            </w:pPr>
          </w:p>
        </w:tc>
        <w:tc>
          <w:tcPr>
            <w:tcW w:w="2693" w:type="dxa"/>
          </w:tcPr>
          <w:p w14:paraId="798A8CEF" w14:textId="60F28513" w:rsidR="003D7286" w:rsidRPr="003D7286" w:rsidRDefault="003D7286" w:rsidP="004D3A8D">
            <w:pPr>
              <w:pStyle w:val="Heading2"/>
              <w:spacing w:before="0" w:beforeAutospacing="0" w:after="0" w:afterAutospacing="0"/>
              <w:rPr>
                <w:rFonts w:asciiTheme="minorHAnsi" w:hAnsiTheme="minorHAnsi" w:cstheme="minorHAnsi"/>
                <w:b w:val="0"/>
                <w:bCs w:val="0"/>
                <w:sz w:val="22"/>
                <w:szCs w:val="22"/>
              </w:rPr>
            </w:pPr>
            <w:r w:rsidRPr="003D7286">
              <w:rPr>
                <w:rFonts w:asciiTheme="minorHAnsi" w:hAnsiTheme="minorHAnsi" w:cstheme="minorHAnsi"/>
                <w:b w:val="0"/>
                <w:bCs w:val="0"/>
                <w:sz w:val="22"/>
                <w:szCs w:val="22"/>
              </w:rPr>
              <w:t>Utilities Act 2000</w:t>
            </w:r>
          </w:p>
        </w:tc>
        <w:tc>
          <w:tcPr>
            <w:tcW w:w="6379" w:type="dxa"/>
          </w:tcPr>
          <w:p w14:paraId="534DA1C9" w14:textId="0DCD1CDB" w:rsidR="003D7286" w:rsidRPr="00FC2ED5" w:rsidRDefault="003D7286" w:rsidP="004D3A8D">
            <w:pPr>
              <w:rPr>
                <w:rFonts w:cstheme="minorHAnsi"/>
              </w:rPr>
            </w:pPr>
            <w:r>
              <w:rPr>
                <w:rFonts w:cstheme="minorHAnsi"/>
              </w:rPr>
              <w:t xml:space="preserve">Specified </w:t>
            </w:r>
            <w:r>
              <w:t>maximum resale price for gas.</w:t>
            </w:r>
          </w:p>
        </w:tc>
      </w:tr>
      <w:tr w:rsidR="003D7286" w:rsidRPr="00FC2ED5" w14:paraId="5D2526D2" w14:textId="77777777" w:rsidTr="0064631C">
        <w:tc>
          <w:tcPr>
            <w:tcW w:w="970" w:type="dxa"/>
          </w:tcPr>
          <w:p w14:paraId="1066B768" w14:textId="1D24BDC3" w:rsidR="003D7286" w:rsidRPr="00E806EE" w:rsidRDefault="003D7286" w:rsidP="00E806EE">
            <w:pPr>
              <w:jc w:val="center"/>
              <w:rPr>
                <w:rFonts w:cstheme="minorHAnsi"/>
                <w:sz w:val="24"/>
                <w:szCs w:val="24"/>
              </w:rPr>
            </w:pPr>
            <w:r w:rsidRPr="00E806EE">
              <w:rPr>
                <w:rFonts w:cstheme="minorHAnsi"/>
                <w:sz w:val="24"/>
                <w:szCs w:val="24"/>
              </w:rPr>
              <w:t>2001</w:t>
            </w:r>
          </w:p>
        </w:tc>
        <w:tc>
          <w:tcPr>
            <w:tcW w:w="2693" w:type="dxa"/>
          </w:tcPr>
          <w:p w14:paraId="4F96C9A7" w14:textId="0972E08B" w:rsidR="003D7286" w:rsidRPr="003D7286" w:rsidRDefault="003D7286" w:rsidP="004D3A8D">
            <w:pPr>
              <w:pStyle w:val="Heading2"/>
              <w:spacing w:before="0" w:beforeAutospacing="0" w:after="0" w:afterAutospacing="0"/>
              <w:rPr>
                <w:rFonts w:asciiTheme="minorHAnsi" w:hAnsiTheme="minorHAnsi" w:cstheme="minorHAnsi"/>
                <w:b w:val="0"/>
                <w:bCs w:val="0"/>
                <w:sz w:val="20"/>
                <w:szCs w:val="20"/>
              </w:rPr>
            </w:pPr>
            <w:r w:rsidRPr="003D7286">
              <w:rPr>
                <w:rFonts w:asciiTheme="minorHAnsi" w:hAnsiTheme="minorHAnsi" w:cstheme="minorHAnsi"/>
                <w:b w:val="0"/>
                <w:bCs w:val="0"/>
                <w:sz w:val="20"/>
                <w:szCs w:val="20"/>
              </w:rPr>
              <w:t>Housing Benefit Regulations 2001</w:t>
            </w:r>
          </w:p>
        </w:tc>
        <w:tc>
          <w:tcPr>
            <w:tcW w:w="6379" w:type="dxa"/>
          </w:tcPr>
          <w:p w14:paraId="66C2E056" w14:textId="75808234" w:rsidR="003D7286" w:rsidRPr="00FC2ED5" w:rsidRDefault="003D7286" w:rsidP="004D3A8D">
            <w:pPr>
              <w:rPr>
                <w:rFonts w:cstheme="minorHAnsi"/>
              </w:rPr>
            </w:pPr>
            <w:r>
              <w:rPr>
                <w:rFonts w:cstheme="minorHAnsi"/>
              </w:rPr>
              <w:t>Tidied up Housing Benefits</w:t>
            </w:r>
          </w:p>
        </w:tc>
      </w:tr>
      <w:tr w:rsidR="00A63A2B" w:rsidRPr="008009DF" w14:paraId="6E72977B" w14:textId="77777777" w:rsidTr="0064631C">
        <w:tc>
          <w:tcPr>
            <w:tcW w:w="970" w:type="dxa"/>
            <w:vMerge w:val="restart"/>
          </w:tcPr>
          <w:p w14:paraId="773F6945" w14:textId="1775E867" w:rsidR="00A63A2B" w:rsidRPr="00E806EE" w:rsidRDefault="00A63A2B" w:rsidP="00E806EE">
            <w:pPr>
              <w:jc w:val="center"/>
              <w:rPr>
                <w:rFonts w:cstheme="minorHAnsi"/>
                <w:sz w:val="24"/>
                <w:szCs w:val="24"/>
              </w:rPr>
            </w:pPr>
            <w:r w:rsidRPr="00E806EE">
              <w:rPr>
                <w:rFonts w:cstheme="minorHAnsi"/>
                <w:sz w:val="24"/>
                <w:szCs w:val="24"/>
              </w:rPr>
              <w:t>2002</w:t>
            </w:r>
          </w:p>
        </w:tc>
        <w:tc>
          <w:tcPr>
            <w:tcW w:w="2693" w:type="dxa"/>
          </w:tcPr>
          <w:p w14:paraId="56B67C91" w14:textId="46AB8F11" w:rsidR="00A63A2B" w:rsidRPr="008009DF" w:rsidRDefault="00A63A2B" w:rsidP="004D3A8D">
            <w:pPr>
              <w:pStyle w:val="Heading2"/>
              <w:spacing w:before="0" w:beforeAutospacing="0" w:after="0" w:afterAutospacing="0"/>
              <w:rPr>
                <w:rFonts w:asciiTheme="minorHAnsi" w:hAnsiTheme="minorHAnsi" w:cstheme="minorHAnsi"/>
                <w:b w:val="0"/>
                <w:bCs w:val="0"/>
                <w:sz w:val="22"/>
                <w:szCs w:val="22"/>
              </w:rPr>
            </w:pPr>
            <w:r w:rsidRPr="008009DF">
              <w:rPr>
                <w:rFonts w:asciiTheme="minorHAnsi" w:hAnsiTheme="minorHAnsi" w:cstheme="minorHAnsi"/>
                <w:b w:val="0"/>
                <w:bCs w:val="0"/>
                <w:sz w:val="22"/>
                <w:szCs w:val="22"/>
                <w:shd w:val="clear" w:color="auto" w:fill="FFFFFF"/>
              </w:rPr>
              <w:t>Land Registration Act 2002</w:t>
            </w:r>
          </w:p>
        </w:tc>
        <w:tc>
          <w:tcPr>
            <w:tcW w:w="6379" w:type="dxa"/>
          </w:tcPr>
          <w:p w14:paraId="31D5B44C" w14:textId="40E94F0B" w:rsidR="00A63A2B" w:rsidRPr="008009DF" w:rsidRDefault="00A63A2B" w:rsidP="004D3A8D">
            <w:pPr>
              <w:rPr>
                <w:rFonts w:cstheme="minorHAnsi"/>
              </w:rPr>
            </w:pPr>
            <w:r>
              <w:rPr>
                <w:rFonts w:cstheme="minorHAnsi"/>
              </w:rPr>
              <w:t>I</w:t>
            </w:r>
            <w:r w:rsidRPr="008009DF">
              <w:rPr>
                <w:rFonts w:cstheme="minorHAnsi"/>
              </w:rPr>
              <w:t>ntroduces a new scheme for protecting the interests of registered proprietors against the acquisition of title by persons in adverse possession, or “squatters”</w:t>
            </w:r>
            <w:r w:rsidRPr="008009DF">
              <w:rPr>
                <w:rFonts w:cstheme="minorHAnsi"/>
                <w:shd w:val="clear" w:color="auto" w:fill="FFFFFF"/>
              </w:rPr>
              <w:t>. A squatter will be able to apply to be registered as proprietor after ten years' adverse possession.</w:t>
            </w:r>
          </w:p>
        </w:tc>
      </w:tr>
      <w:tr w:rsidR="00A63A2B" w:rsidRPr="008009DF" w14:paraId="291D3FD9" w14:textId="77777777" w:rsidTr="0064631C">
        <w:tc>
          <w:tcPr>
            <w:tcW w:w="970" w:type="dxa"/>
            <w:vMerge/>
          </w:tcPr>
          <w:p w14:paraId="4B866973" w14:textId="77777777" w:rsidR="00A63A2B" w:rsidRPr="00E806EE" w:rsidRDefault="00A63A2B" w:rsidP="00E806EE">
            <w:pPr>
              <w:jc w:val="center"/>
              <w:rPr>
                <w:rFonts w:cstheme="minorHAnsi"/>
                <w:sz w:val="24"/>
                <w:szCs w:val="24"/>
              </w:rPr>
            </w:pPr>
          </w:p>
        </w:tc>
        <w:tc>
          <w:tcPr>
            <w:tcW w:w="2693" w:type="dxa"/>
          </w:tcPr>
          <w:p w14:paraId="7E884E8B" w14:textId="0C6EC248" w:rsidR="00A63A2B" w:rsidRPr="00A63A2B" w:rsidRDefault="00A63A2B" w:rsidP="004D3A8D">
            <w:pPr>
              <w:pStyle w:val="Heading2"/>
              <w:spacing w:before="0" w:beforeAutospacing="0" w:after="0" w:afterAutospacing="0"/>
              <w:rPr>
                <w:rFonts w:asciiTheme="minorHAnsi" w:hAnsiTheme="minorHAnsi" w:cstheme="minorHAnsi"/>
                <w:b w:val="0"/>
                <w:bCs w:val="0"/>
                <w:sz w:val="22"/>
                <w:szCs w:val="22"/>
                <w:shd w:val="clear" w:color="auto" w:fill="FFFFFF"/>
              </w:rPr>
            </w:pPr>
            <w:r w:rsidRPr="00A63A2B">
              <w:rPr>
                <w:rFonts w:asciiTheme="minorHAnsi" w:hAnsiTheme="minorHAnsi" w:cstheme="minorHAnsi"/>
                <w:b w:val="0"/>
                <w:bCs w:val="0"/>
                <w:sz w:val="22"/>
                <w:szCs w:val="22"/>
              </w:rPr>
              <w:t>The Electrical Safety Quality and Continuity Regulations 2002</w:t>
            </w:r>
          </w:p>
        </w:tc>
        <w:tc>
          <w:tcPr>
            <w:tcW w:w="6379" w:type="dxa"/>
          </w:tcPr>
          <w:p w14:paraId="4E3A2EAB" w14:textId="7E20F9B4" w:rsidR="00A63A2B" w:rsidRDefault="00A63A2B" w:rsidP="004D3A8D">
            <w:pPr>
              <w:rPr>
                <w:rFonts w:cstheme="minorHAnsi"/>
              </w:rPr>
            </w:pPr>
            <w:r>
              <w:t>Duties in relation to customers installations outside the building which would present a danger to the public.</w:t>
            </w:r>
          </w:p>
        </w:tc>
      </w:tr>
      <w:tr w:rsidR="00A63A2B" w:rsidRPr="008009DF" w14:paraId="4522FA06" w14:textId="77777777" w:rsidTr="0064631C">
        <w:tc>
          <w:tcPr>
            <w:tcW w:w="970" w:type="dxa"/>
            <w:vMerge/>
          </w:tcPr>
          <w:p w14:paraId="7666CAC2" w14:textId="77777777" w:rsidR="00A63A2B" w:rsidRPr="00E806EE" w:rsidRDefault="00A63A2B" w:rsidP="00E806EE">
            <w:pPr>
              <w:jc w:val="center"/>
              <w:rPr>
                <w:rFonts w:cstheme="minorHAnsi"/>
                <w:sz w:val="24"/>
                <w:szCs w:val="24"/>
              </w:rPr>
            </w:pPr>
          </w:p>
        </w:tc>
        <w:tc>
          <w:tcPr>
            <w:tcW w:w="2693" w:type="dxa"/>
          </w:tcPr>
          <w:p w14:paraId="607D6BE9" w14:textId="5676F78E" w:rsidR="00A63A2B" w:rsidRPr="00A63A2B" w:rsidRDefault="00A63A2B" w:rsidP="004D3A8D">
            <w:pPr>
              <w:pStyle w:val="Heading2"/>
              <w:spacing w:before="0" w:beforeAutospacing="0" w:after="0" w:afterAutospacing="0"/>
              <w:rPr>
                <w:rFonts w:asciiTheme="minorHAnsi" w:hAnsiTheme="minorHAnsi" w:cstheme="minorHAnsi"/>
                <w:b w:val="0"/>
                <w:bCs w:val="0"/>
                <w:sz w:val="22"/>
                <w:szCs w:val="22"/>
                <w:shd w:val="clear" w:color="auto" w:fill="FFFFFF"/>
              </w:rPr>
            </w:pPr>
            <w:r w:rsidRPr="00A63A2B">
              <w:rPr>
                <w:rFonts w:asciiTheme="minorHAnsi" w:hAnsiTheme="minorHAnsi" w:cstheme="minorHAnsi"/>
                <w:b w:val="0"/>
                <w:bCs w:val="0"/>
                <w:sz w:val="22"/>
                <w:szCs w:val="22"/>
              </w:rPr>
              <w:t>Commonhold and Leasehold Reform Act 2002</w:t>
            </w:r>
          </w:p>
        </w:tc>
        <w:tc>
          <w:tcPr>
            <w:tcW w:w="6379" w:type="dxa"/>
          </w:tcPr>
          <w:p w14:paraId="640A49F7" w14:textId="77777777" w:rsidR="00A63A2B" w:rsidRDefault="00A63A2B" w:rsidP="004D3A8D">
            <w:r>
              <w:t xml:space="preserve">Restrictions on forfeiture. </w:t>
            </w:r>
          </w:p>
          <w:p w14:paraId="46A1B82A" w14:textId="03B8CFD8" w:rsidR="00A63A2B" w:rsidRDefault="00A63A2B" w:rsidP="004D3A8D">
            <w:pPr>
              <w:rPr>
                <w:rFonts w:cstheme="minorHAnsi"/>
              </w:rPr>
            </w:pPr>
            <w:r>
              <w:t>Control over administration charges.</w:t>
            </w:r>
          </w:p>
        </w:tc>
      </w:tr>
      <w:tr w:rsidR="0011730D" w:rsidRPr="00FC2ED5" w14:paraId="71D5ADD1" w14:textId="77777777" w:rsidTr="0064631C">
        <w:tc>
          <w:tcPr>
            <w:tcW w:w="970" w:type="dxa"/>
          </w:tcPr>
          <w:p w14:paraId="68B19B1A" w14:textId="4585265A" w:rsidR="0011730D" w:rsidRPr="00E806EE" w:rsidRDefault="0011730D" w:rsidP="00E806EE">
            <w:pPr>
              <w:jc w:val="center"/>
              <w:rPr>
                <w:rFonts w:cstheme="minorHAnsi"/>
                <w:sz w:val="24"/>
                <w:szCs w:val="24"/>
              </w:rPr>
            </w:pPr>
            <w:r w:rsidRPr="00E806EE">
              <w:rPr>
                <w:rFonts w:cstheme="minorHAnsi"/>
                <w:sz w:val="24"/>
                <w:szCs w:val="24"/>
              </w:rPr>
              <w:t>2003</w:t>
            </w:r>
          </w:p>
        </w:tc>
        <w:tc>
          <w:tcPr>
            <w:tcW w:w="2693" w:type="dxa"/>
          </w:tcPr>
          <w:p w14:paraId="77FE12E6" w14:textId="77777777" w:rsidR="0011730D" w:rsidRPr="0011730D" w:rsidRDefault="0011730D" w:rsidP="004D3A8D">
            <w:pPr>
              <w:pStyle w:val="Heading1"/>
              <w:shd w:val="clear" w:color="auto" w:fill="FFFFFF"/>
              <w:spacing w:before="0"/>
              <w:rPr>
                <w:rFonts w:asciiTheme="minorHAnsi" w:hAnsiTheme="minorHAnsi" w:cstheme="minorHAnsi"/>
                <w:b w:val="0"/>
                <w:bCs w:val="0"/>
                <w:color w:val="1E1E1E"/>
                <w:sz w:val="18"/>
                <w:szCs w:val="18"/>
              </w:rPr>
            </w:pPr>
            <w:r w:rsidRPr="0011730D">
              <w:rPr>
                <w:rFonts w:asciiTheme="minorHAnsi" w:hAnsiTheme="minorHAnsi" w:cstheme="minorHAnsi"/>
                <w:b w:val="0"/>
                <w:bCs w:val="0"/>
                <w:color w:val="1E1E1E"/>
                <w:sz w:val="18"/>
                <w:szCs w:val="18"/>
              </w:rPr>
              <w:t>The Immigration (Restrictions on Employment and Residential Accommodation) (Prescribed Requirements and Codes of Practice) and Licensing Act 2003 (Personal and Premises Licences) (Forms) Order 2021</w:t>
            </w:r>
          </w:p>
          <w:p w14:paraId="00981615" w14:textId="77777777" w:rsidR="0011730D" w:rsidRPr="0011730D" w:rsidRDefault="0011730D" w:rsidP="004D3A8D">
            <w:pPr>
              <w:pStyle w:val="Heading2"/>
              <w:spacing w:before="0" w:beforeAutospacing="0" w:after="0" w:afterAutospacing="0"/>
              <w:rPr>
                <w:rFonts w:asciiTheme="minorHAnsi" w:hAnsiTheme="minorHAnsi" w:cstheme="minorHAnsi"/>
                <w:b w:val="0"/>
                <w:bCs w:val="0"/>
                <w:sz w:val="18"/>
                <w:szCs w:val="18"/>
              </w:rPr>
            </w:pPr>
          </w:p>
        </w:tc>
        <w:tc>
          <w:tcPr>
            <w:tcW w:w="6379" w:type="dxa"/>
          </w:tcPr>
          <w:p w14:paraId="6593CABD" w14:textId="22486CCB" w:rsidR="0011730D" w:rsidRPr="00FC2ED5" w:rsidRDefault="0011730D" w:rsidP="004D3A8D">
            <w:pPr>
              <w:rPr>
                <w:rFonts w:cstheme="minorHAnsi"/>
              </w:rPr>
            </w:pPr>
            <w:r>
              <w:rPr>
                <w:rFonts w:cstheme="minorHAnsi"/>
              </w:rPr>
              <w:t>Requires ‘right to rent’ check on all potential occupants.  Updated after Brexit.</w:t>
            </w:r>
          </w:p>
        </w:tc>
      </w:tr>
      <w:tr w:rsidR="001A418A" w:rsidRPr="00FC2ED5" w14:paraId="6BF25A1A" w14:textId="77777777" w:rsidTr="0064631C">
        <w:tc>
          <w:tcPr>
            <w:tcW w:w="970" w:type="dxa"/>
            <w:vMerge w:val="restart"/>
          </w:tcPr>
          <w:p w14:paraId="23E82AA0" w14:textId="64DFA033" w:rsidR="001A418A" w:rsidRPr="00E806EE" w:rsidRDefault="001A418A" w:rsidP="00E806EE">
            <w:pPr>
              <w:jc w:val="center"/>
              <w:rPr>
                <w:rFonts w:cstheme="minorHAnsi"/>
                <w:sz w:val="24"/>
                <w:szCs w:val="24"/>
              </w:rPr>
            </w:pPr>
            <w:r w:rsidRPr="00E806EE">
              <w:rPr>
                <w:rFonts w:cstheme="minorHAnsi"/>
                <w:sz w:val="24"/>
                <w:szCs w:val="24"/>
              </w:rPr>
              <w:t>2004</w:t>
            </w:r>
          </w:p>
        </w:tc>
        <w:tc>
          <w:tcPr>
            <w:tcW w:w="2693" w:type="dxa"/>
          </w:tcPr>
          <w:p w14:paraId="1CB7F84B" w14:textId="18C4F95B" w:rsidR="001A418A" w:rsidRPr="00FC2ED5" w:rsidRDefault="001A418A"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Housing Act 2004</w:t>
            </w:r>
          </w:p>
        </w:tc>
        <w:tc>
          <w:tcPr>
            <w:tcW w:w="6379" w:type="dxa"/>
          </w:tcPr>
          <w:p w14:paraId="6186E678" w14:textId="77777777" w:rsidR="001A418A" w:rsidRPr="00FC2ED5" w:rsidRDefault="001A418A" w:rsidP="004D3A8D">
            <w:pPr>
              <w:rPr>
                <w:rFonts w:cstheme="minorHAnsi"/>
              </w:rPr>
            </w:pPr>
            <w:r w:rsidRPr="00FC2ED5">
              <w:rPr>
                <w:rFonts w:cstheme="minorHAnsi"/>
              </w:rPr>
              <w:t xml:space="preserve">Brought </w:t>
            </w:r>
            <w:proofErr w:type="gramStart"/>
            <w:r w:rsidRPr="00FC2ED5">
              <w:rPr>
                <w:rFonts w:cstheme="minorHAnsi"/>
              </w:rPr>
              <w:t>about</w:t>
            </w:r>
            <w:proofErr w:type="gramEnd"/>
            <w:r w:rsidRPr="00FC2ED5">
              <w:rPr>
                <w:rFonts w:cstheme="minorHAnsi"/>
              </w:rPr>
              <w:t xml:space="preserve"> </w:t>
            </w:r>
          </w:p>
          <w:p w14:paraId="38FE0ED1" w14:textId="77777777" w:rsidR="001A418A" w:rsidRPr="00FC2ED5" w:rsidRDefault="001A418A" w:rsidP="004D3A8D">
            <w:pPr>
              <w:pStyle w:val="ListParagraph"/>
              <w:numPr>
                <w:ilvl w:val="0"/>
                <w:numId w:val="24"/>
              </w:numPr>
              <w:rPr>
                <w:rFonts w:cstheme="minorHAnsi"/>
              </w:rPr>
            </w:pPr>
            <w:r w:rsidRPr="00FC2ED5">
              <w:rPr>
                <w:rFonts w:cstheme="minorHAnsi"/>
              </w:rPr>
              <w:t>Housing Health and Safety Rating System (HHSRS):</w:t>
            </w:r>
          </w:p>
          <w:p w14:paraId="6884CF17" w14:textId="13F6C110" w:rsidR="001A418A" w:rsidRPr="00FC2ED5" w:rsidRDefault="001A418A" w:rsidP="004D3A8D">
            <w:pPr>
              <w:pStyle w:val="ListParagraph"/>
              <w:numPr>
                <w:ilvl w:val="0"/>
                <w:numId w:val="24"/>
              </w:numPr>
              <w:rPr>
                <w:rFonts w:cstheme="minorHAnsi"/>
              </w:rPr>
            </w:pPr>
            <w:r w:rsidRPr="00FC2ED5">
              <w:rPr>
                <w:rFonts w:cstheme="minorHAnsi"/>
              </w:rPr>
              <w:t>HMO Licensing, mandatory and additional</w:t>
            </w:r>
          </w:p>
          <w:p w14:paraId="0972994B" w14:textId="77777777" w:rsidR="001A418A" w:rsidRPr="00FC2ED5" w:rsidRDefault="001A418A" w:rsidP="004D3A8D">
            <w:pPr>
              <w:pStyle w:val="ListParagraph"/>
              <w:numPr>
                <w:ilvl w:val="0"/>
                <w:numId w:val="24"/>
              </w:numPr>
              <w:rPr>
                <w:rFonts w:cstheme="minorHAnsi"/>
              </w:rPr>
            </w:pPr>
            <w:r w:rsidRPr="00FC2ED5">
              <w:rPr>
                <w:rFonts w:cstheme="minorHAnsi"/>
              </w:rPr>
              <w:t>Selective Licensing (</w:t>
            </w:r>
            <w:proofErr w:type="gramStart"/>
            <w:r w:rsidRPr="00FC2ED5">
              <w:rPr>
                <w:rFonts w:cstheme="minorHAnsi"/>
              </w:rPr>
              <w:t>non HMOs</w:t>
            </w:r>
            <w:proofErr w:type="gramEnd"/>
            <w:r w:rsidRPr="00FC2ED5">
              <w:rPr>
                <w:rFonts w:cstheme="minorHAnsi"/>
              </w:rPr>
              <w:t>)</w:t>
            </w:r>
          </w:p>
          <w:p w14:paraId="45E67D56" w14:textId="6748A95E" w:rsidR="001A418A" w:rsidRPr="00FC2ED5" w:rsidRDefault="001A418A" w:rsidP="004D3A8D">
            <w:pPr>
              <w:pStyle w:val="ListParagraph"/>
              <w:numPr>
                <w:ilvl w:val="0"/>
                <w:numId w:val="24"/>
              </w:numPr>
              <w:rPr>
                <w:rFonts w:cstheme="minorHAnsi"/>
              </w:rPr>
            </w:pPr>
            <w:r w:rsidRPr="00FC2ED5">
              <w:rPr>
                <w:rFonts w:cstheme="minorHAnsi"/>
              </w:rPr>
              <w:t>EPC’s (Energy Performance Certificates)</w:t>
            </w:r>
          </w:p>
          <w:p w14:paraId="39157A80" w14:textId="77777777" w:rsidR="001A418A" w:rsidRPr="00FC2ED5" w:rsidRDefault="001A418A" w:rsidP="004D3A8D">
            <w:pPr>
              <w:pStyle w:val="ListParagraph"/>
              <w:numPr>
                <w:ilvl w:val="0"/>
                <w:numId w:val="24"/>
              </w:numPr>
              <w:rPr>
                <w:rFonts w:cstheme="minorHAnsi"/>
              </w:rPr>
            </w:pPr>
            <w:r w:rsidRPr="00FC2ED5">
              <w:rPr>
                <w:rFonts w:cstheme="minorHAnsi"/>
              </w:rPr>
              <w:t>Tenancy Deposit Protection</w:t>
            </w:r>
          </w:p>
          <w:p w14:paraId="7CF80232" w14:textId="77777777" w:rsidR="001A418A" w:rsidRPr="00FC2ED5" w:rsidRDefault="001A418A" w:rsidP="004D3A8D">
            <w:pPr>
              <w:pStyle w:val="ListParagraph"/>
              <w:numPr>
                <w:ilvl w:val="0"/>
                <w:numId w:val="24"/>
              </w:numPr>
              <w:rPr>
                <w:rFonts w:cstheme="minorHAnsi"/>
              </w:rPr>
            </w:pPr>
            <w:r w:rsidRPr="00FC2ED5">
              <w:rPr>
                <w:rFonts w:cstheme="minorHAnsi"/>
              </w:rPr>
              <w:t>HMO management regulations</w:t>
            </w:r>
          </w:p>
          <w:p w14:paraId="0188033C" w14:textId="77777777" w:rsidR="001A418A" w:rsidRPr="00FC2ED5" w:rsidRDefault="001A418A" w:rsidP="004D3A8D">
            <w:pPr>
              <w:pStyle w:val="ListParagraph"/>
              <w:numPr>
                <w:ilvl w:val="0"/>
                <w:numId w:val="24"/>
              </w:numPr>
              <w:rPr>
                <w:rFonts w:cstheme="minorHAnsi"/>
              </w:rPr>
            </w:pPr>
            <w:r w:rsidRPr="00FC2ED5">
              <w:rPr>
                <w:rFonts w:cstheme="minorHAnsi"/>
              </w:rPr>
              <w:t>Landlord’s repairing obligations</w:t>
            </w:r>
          </w:p>
          <w:p w14:paraId="53864D21" w14:textId="77777777" w:rsidR="001A418A" w:rsidRPr="00FC2ED5" w:rsidRDefault="001A418A" w:rsidP="004D3A8D">
            <w:pPr>
              <w:pStyle w:val="ListParagraph"/>
              <w:numPr>
                <w:ilvl w:val="0"/>
                <w:numId w:val="24"/>
              </w:numPr>
              <w:rPr>
                <w:rFonts w:cstheme="minorHAnsi"/>
              </w:rPr>
            </w:pPr>
            <w:r w:rsidRPr="00FC2ED5">
              <w:rPr>
                <w:rFonts w:cstheme="minorHAnsi"/>
              </w:rPr>
              <w:t xml:space="preserve">Prohibition orders - preventing landlords from letting out properties that fail to meet the required standards for health and </w:t>
            </w:r>
            <w:proofErr w:type="gramStart"/>
            <w:r w:rsidRPr="00FC2ED5">
              <w:rPr>
                <w:rFonts w:cstheme="minorHAnsi"/>
              </w:rPr>
              <w:t>safety</w:t>
            </w:r>
            <w:proofErr w:type="gramEnd"/>
          </w:p>
          <w:p w14:paraId="18C0184C" w14:textId="77777777" w:rsidR="001A418A" w:rsidRPr="00FC2ED5" w:rsidRDefault="001A418A" w:rsidP="004D3A8D">
            <w:pPr>
              <w:pStyle w:val="ListParagraph"/>
              <w:numPr>
                <w:ilvl w:val="0"/>
                <w:numId w:val="24"/>
              </w:numPr>
              <w:rPr>
                <w:rFonts w:cstheme="minorHAnsi"/>
              </w:rPr>
            </w:pPr>
            <w:r w:rsidRPr="00FC2ED5">
              <w:rPr>
                <w:rFonts w:cstheme="minorHAnsi"/>
              </w:rPr>
              <w:t>Empty Dwell Management Orders (EDMOs)</w:t>
            </w:r>
          </w:p>
          <w:p w14:paraId="084F5ACD" w14:textId="77777777" w:rsidR="001A418A" w:rsidRPr="00FC2ED5" w:rsidRDefault="001A418A" w:rsidP="004D3A8D">
            <w:pPr>
              <w:pStyle w:val="ListParagraph"/>
              <w:numPr>
                <w:ilvl w:val="0"/>
                <w:numId w:val="24"/>
              </w:numPr>
              <w:rPr>
                <w:rFonts w:cstheme="minorHAnsi"/>
              </w:rPr>
            </w:pPr>
            <w:r w:rsidRPr="00FC2ED5">
              <w:rPr>
                <w:rFonts w:cstheme="minorHAnsi"/>
              </w:rPr>
              <w:t xml:space="preserve">Rent Repayment Orders </w:t>
            </w:r>
          </w:p>
          <w:p w14:paraId="58BD299D" w14:textId="379936C8" w:rsidR="001A418A" w:rsidRPr="00FC2ED5" w:rsidRDefault="001A418A" w:rsidP="004D3A8D">
            <w:pPr>
              <w:pStyle w:val="ListParagraph"/>
              <w:numPr>
                <w:ilvl w:val="0"/>
                <w:numId w:val="24"/>
              </w:numPr>
              <w:rPr>
                <w:rFonts w:cstheme="minorHAnsi"/>
              </w:rPr>
            </w:pPr>
            <w:r w:rsidRPr="00FC2ED5">
              <w:rPr>
                <w:rFonts w:cstheme="minorHAnsi"/>
              </w:rPr>
              <w:t>Fire Safety, especially in HMOs.</w:t>
            </w:r>
          </w:p>
        </w:tc>
      </w:tr>
      <w:tr w:rsidR="001A418A" w:rsidRPr="00FC2ED5" w14:paraId="0872EEA9" w14:textId="77777777" w:rsidTr="0064631C">
        <w:tc>
          <w:tcPr>
            <w:tcW w:w="970" w:type="dxa"/>
            <w:vMerge/>
          </w:tcPr>
          <w:p w14:paraId="25D63EC7" w14:textId="77777777" w:rsidR="001A418A" w:rsidRPr="00E806EE" w:rsidRDefault="001A418A" w:rsidP="00E806EE">
            <w:pPr>
              <w:jc w:val="center"/>
              <w:rPr>
                <w:rFonts w:cstheme="minorHAnsi"/>
                <w:sz w:val="24"/>
                <w:szCs w:val="24"/>
              </w:rPr>
            </w:pPr>
          </w:p>
        </w:tc>
        <w:tc>
          <w:tcPr>
            <w:tcW w:w="2693" w:type="dxa"/>
          </w:tcPr>
          <w:p w14:paraId="273327CB" w14:textId="73AB06DE" w:rsidR="001A418A" w:rsidRPr="001A418A" w:rsidRDefault="001A418A" w:rsidP="004D3A8D">
            <w:pPr>
              <w:pStyle w:val="Heading2"/>
              <w:spacing w:before="0" w:beforeAutospacing="0" w:after="0" w:afterAutospacing="0"/>
              <w:rPr>
                <w:rFonts w:asciiTheme="minorHAnsi" w:hAnsiTheme="minorHAnsi" w:cstheme="minorHAnsi"/>
                <w:b w:val="0"/>
                <w:bCs w:val="0"/>
                <w:sz w:val="22"/>
                <w:szCs w:val="22"/>
              </w:rPr>
            </w:pPr>
            <w:r w:rsidRPr="001A418A">
              <w:rPr>
                <w:rFonts w:asciiTheme="minorHAnsi" w:hAnsiTheme="minorHAnsi" w:cstheme="minorHAnsi"/>
                <w:b w:val="0"/>
                <w:bCs w:val="0"/>
                <w:sz w:val="22"/>
                <w:szCs w:val="22"/>
              </w:rPr>
              <w:t>Fire and Rescue Services Act 2004</w:t>
            </w:r>
          </w:p>
        </w:tc>
        <w:tc>
          <w:tcPr>
            <w:tcW w:w="6379" w:type="dxa"/>
          </w:tcPr>
          <w:p w14:paraId="708A65DE" w14:textId="7726E488" w:rsidR="001A418A" w:rsidRPr="00FC2ED5" w:rsidRDefault="001A418A" w:rsidP="004D3A8D">
            <w:pPr>
              <w:rPr>
                <w:rFonts w:cstheme="minorHAnsi"/>
              </w:rPr>
            </w:pPr>
            <w:r>
              <w:t>Powers of entry to obtain information to investigate fires.</w:t>
            </w:r>
          </w:p>
        </w:tc>
      </w:tr>
    </w:tbl>
    <w:p w14:paraId="050CB228" w14:textId="77777777" w:rsidR="00EE5F74" w:rsidRDefault="00EE5F74">
      <w:r>
        <w:br w:type="page"/>
      </w:r>
    </w:p>
    <w:tbl>
      <w:tblPr>
        <w:tblStyle w:val="TableGrid"/>
        <w:tblW w:w="0" w:type="auto"/>
        <w:tblLook w:val="04A0" w:firstRow="1" w:lastRow="0" w:firstColumn="1" w:lastColumn="0" w:noHBand="0" w:noVBand="1"/>
      </w:tblPr>
      <w:tblGrid>
        <w:gridCol w:w="970"/>
        <w:gridCol w:w="2693"/>
        <w:gridCol w:w="6379"/>
      </w:tblGrid>
      <w:tr w:rsidR="00311566" w:rsidRPr="00FC2ED5" w14:paraId="73480ADE" w14:textId="77777777" w:rsidTr="0064631C">
        <w:tc>
          <w:tcPr>
            <w:tcW w:w="970" w:type="dxa"/>
            <w:vMerge w:val="restart"/>
          </w:tcPr>
          <w:p w14:paraId="25AFB624" w14:textId="5282F563" w:rsidR="00311566" w:rsidRPr="00E806EE" w:rsidRDefault="00311566" w:rsidP="00E806EE">
            <w:pPr>
              <w:jc w:val="center"/>
              <w:rPr>
                <w:rFonts w:cstheme="minorHAnsi"/>
                <w:sz w:val="24"/>
                <w:szCs w:val="24"/>
              </w:rPr>
            </w:pPr>
            <w:r w:rsidRPr="00E806EE">
              <w:rPr>
                <w:rFonts w:cstheme="minorHAnsi"/>
                <w:sz w:val="24"/>
                <w:szCs w:val="24"/>
              </w:rPr>
              <w:lastRenderedPageBreak/>
              <w:t>2006</w:t>
            </w:r>
          </w:p>
        </w:tc>
        <w:tc>
          <w:tcPr>
            <w:tcW w:w="2693" w:type="dxa"/>
          </w:tcPr>
          <w:p w14:paraId="60EB59D8" w14:textId="34BBA42E" w:rsidR="00311566" w:rsidRPr="00396561" w:rsidRDefault="00311566" w:rsidP="004D3A8D">
            <w:pPr>
              <w:pStyle w:val="Heading2"/>
              <w:spacing w:before="0" w:beforeAutospacing="0" w:after="0" w:afterAutospacing="0"/>
              <w:rPr>
                <w:rFonts w:asciiTheme="minorHAnsi" w:hAnsiTheme="minorHAnsi" w:cstheme="minorHAnsi"/>
                <w:b w:val="0"/>
                <w:bCs w:val="0"/>
                <w:sz w:val="22"/>
                <w:szCs w:val="22"/>
              </w:rPr>
            </w:pPr>
            <w:r w:rsidRPr="00396561">
              <w:rPr>
                <w:rFonts w:asciiTheme="minorHAnsi" w:hAnsiTheme="minorHAnsi" w:cstheme="minorHAnsi"/>
                <w:b w:val="0"/>
                <w:bCs w:val="0"/>
                <w:sz w:val="22"/>
                <w:szCs w:val="22"/>
              </w:rPr>
              <w:t>Health Act 2006</w:t>
            </w:r>
          </w:p>
        </w:tc>
        <w:tc>
          <w:tcPr>
            <w:tcW w:w="6379" w:type="dxa"/>
          </w:tcPr>
          <w:p w14:paraId="5023D6A2" w14:textId="77777777" w:rsidR="00311566" w:rsidRDefault="00311566" w:rsidP="004D3A8D">
            <w:r>
              <w:t xml:space="preserve">Prohibition on smoking in common parts. </w:t>
            </w:r>
          </w:p>
          <w:p w14:paraId="3FE29A58" w14:textId="2648C114" w:rsidR="00311566" w:rsidRPr="00FC2ED5" w:rsidRDefault="00311566" w:rsidP="004D3A8D">
            <w:pPr>
              <w:rPr>
                <w:rFonts w:cstheme="minorHAnsi"/>
              </w:rPr>
            </w:pPr>
            <w:r>
              <w:t>Obligation to display no smoking signs.</w:t>
            </w:r>
          </w:p>
        </w:tc>
      </w:tr>
      <w:tr w:rsidR="00311566" w:rsidRPr="00FC2ED5" w14:paraId="400224E2" w14:textId="77777777" w:rsidTr="0064631C">
        <w:tc>
          <w:tcPr>
            <w:tcW w:w="970" w:type="dxa"/>
            <w:vMerge/>
          </w:tcPr>
          <w:p w14:paraId="21C95994" w14:textId="77777777" w:rsidR="00311566" w:rsidRPr="00E806EE" w:rsidRDefault="00311566" w:rsidP="00E806EE">
            <w:pPr>
              <w:jc w:val="center"/>
              <w:rPr>
                <w:rFonts w:cstheme="minorHAnsi"/>
                <w:sz w:val="24"/>
                <w:szCs w:val="24"/>
              </w:rPr>
            </w:pPr>
          </w:p>
        </w:tc>
        <w:tc>
          <w:tcPr>
            <w:tcW w:w="2693" w:type="dxa"/>
          </w:tcPr>
          <w:p w14:paraId="447E3AD0" w14:textId="6C7D59F2" w:rsidR="00311566" w:rsidRPr="00311566" w:rsidRDefault="00311566" w:rsidP="004D3A8D">
            <w:pPr>
              <w:pStyle w:val="Heading2"/>
              <w:spacing w:before="0" w:beforeAutospacing="0" w:after="0" w:afterAutospacing="0"/>
              <w:rPr>
                <w:rFonts w:asciiTheme="minorHAnsi" w:hAnsiTheme="minorHAnsi" w:cstheme="minorHAnsi"/>
                <w:b w:val="0"/>
                <w:bCs w:val="0"/>
                <w:sz w:val="20"/>
                <w:szCs w:val="20"/>
              </w:rPr>
            </w:pPr>
            <w:r w:rsidRPr="00311566">
              <w:rPr>
                <w:rFonts w:asciiTheme="minorHAnsi" w:hAnsiTheme="minorHAnsi" w:cstheme="minorHAnsi"/>
                <w:b w:val="0"/>
                <w:bCs w:val="0"/>
                <w:sz w:val="20"/>
                <w:szCs w:val="20"/>
              </w:rPr>
              <w:t>Housing Health and Safety Rating System (England) Regulations 2005</w:t>
            </w:r>
          </w:p>
        </w:tc>
        <w:tc>
          <w:tcPr>
            <w:tcW w:w="6379" w:type="dxa"/>
          </w:tcPr>
          <w:p w14:paraId="39A3124F" w14:textId="00C1A12C" w:rsidR="00311566" w:rsidRDefault="00311566" w:rsidP="004D3A8D">
            <w:r>
              <w:t xml:space="preserve">Introduces 29 recognised risk categories that should be minimised. </w:t>
            </w:r>
          </w:p>
        </w:tc>
      </w:tr>
      <w:tr w:rsidR="00FC2ED5" w:rsidRPr="00FC2ED5" w14:paraId="3C58EAEC" w14:textId="77777777" w:rsidTr="0064631C">
        <w:tc>
          <w:tcPr>
            <w:tcW w:w="970" w:type="dxa"/>
          </w:tcPr>
          <w:p w14:paraId="33B2B595" w14:textId="10542415" w:rsidR="007470E2" w:rsidRPr="00E806EE" w:rsidRDefault="007470E2" w:rsidP="00E806EE">
            <w:pPr>
              <w:jc w:val="center"/>
              <w:rPr>
                <w:rFonts w:cstheme="minorHAnsi"/>
                <w:sz w:val="24"/>
                <w:szCs w:val="24"/>
              </w:rPr>
            </w:pPr>
            <w:r w:rsidRPr="00E806EE">
              <w:rPr>
                <w:rFonts w:cstheme="minorHAnsi"/>
                <w:sz w:val="24"/>
                <w:szCs w:val="24"/>
              </w:rPr>
              <w:t>2010</w:t>
            </w:r>
          </w:p>
        </w:tc>
        <w:tc>
          <w:tcPr>
            <w:tcW w:w="2693" w:type="dxa"/>
          </w:tcPr>
          <w:p w14:paraId="69ECD2A5" w14:textId="3DF54EB4" w:rsidR="007470E2" w:rsidRPr="00FC2ED5" w:rsidRDefault="007470E2"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Equality Act 2010</w:t>
            </w:r>
          </w:p>
        </w:tc>
        <w:tc>
          <w:tcPr>
            <w:tcW w:w="6379" w:type="dxa"/>
          </w:tcPr>
          <w:p w14:paraId="3D59E2A7" w14:textId="4DE7648B" w:rsidR="007470E2" w:rsidRPr="00FC2ED5" w:rsidRDefault="007470E2" w:rsidP="004D3A8D">
            <w:pPr>
              <w:rPr>
                <w:rFonts w:cstheme="minorHAnsi"/>
              </w:rPr>
            </w:pPr>
            <w:r w:rsidRPr="00FC2ED5">
              <w:rPr>
                <w:rFonts w:cstheme="minorHAnsi"/>
              </w:rPr>
              <w:t>Consolidated many acts, simply meaning no-one should be discriminated against.</w:t>
            </w:r>
          </w:p>
        </w:tc>
      </w:tr>
      <w:tr w:rsidR="00A64187" w:rsidRPr="00FC2ED5" w14:paraId="2FC2D59B" w14:textId="77777777" w:rsidTr="0064631C">
        <w:tc>
          <w:tcPr>
            <w:tcW w:w="970" w:type="dxa"/>
            <w:vMerge w:val="restart"/>
          </w:tcPr>
          <w:p w14:paraId="345A912B" w14:textId="66EE9D02" w:rsidR="00A64187" w:rsidRPr="00E806EE" w:rsidRDefault="00A64187" w:rsidP="00E806EE">
            <w:pPr>
              <w:jc w:val="center"/>
              <w:rPr>
                <w:rFonts w:cstheme="minorHAnsi"/>
                <w:sz w:val="24"/>
                <w:szCs w:val="24"/>
              </w:rPr>
            </w:pPr>
            <w:r w:rsidRPr="00E806EE">
              <w:rPr>
                <w:rFonts w:cstheme="minorHAnsi"/>
                <w:sz w:val="24"/>
                <w:szCs w:val="24"/>
              </w:rPr>
              <w:t>2011</w:t>
            </w:r>
          </w:p>
        </w:tc>
        <w:tc>
          <w:tcPr>
            <w:tcW w:w="2693" w:type="dxa"/>
          </w:tcPr>
          <w:p w14:paraId="118000A1" w14:textId="54F75F6C" w:rsidR="00A64187" w:rsidRPr="00A64187" w:rsidRDefault="00A64187" w:rsidP="004D3A8D">
            <w:pPr>
              <w:pStyle w:val="Heading2"/>
              <w:spacing w:before="0" w:beforeAutospacing="0" w:after="0" w:afterAutospacing="0"/>
              <w:rPr>
                <w:rFonts w:asciiTheme="minorHAnsi" w:hAnsiTheme="minorHAnsi" w:cstheme="minorHAnsi"/>
                <w:b w:val="0"/>
                <w:bCs w:val="0"/>
                <w:sz w:val="22"/>
                <w:szCs w:val="22"/>
              </w:rPr>
            </w:pPr>
            <w:r w:rsidRPr="00A64187">
              <w:rPr>
                <w:rFonts w:asciiTheme="minorHAnsi" w:hAnsiTheme="minorHAnsi" w:cstheme="minorHAnsi"/>
                <w:b w:val="0"/>
                <w:bCs w:val="0"/>
                <w:sz w:val="22"/>
                <w:szCs w:val="22"/>
              </w:rPr>
              <w:t>Localism Act 2011</w:t>
            </w:r>
          </w:p>
        </w:tc>
        <w:tc>
          <w:tcPr>
            <w:tcW w:w="6379" w:type="dxa"/>
          </w:tcPr>
          <w:p w14:paraId="48840743" w14:textId="77777777" w:rsidR="00A64187" w:rsidRDefault="00A64187" w:rsidP="004D3A8D">
            <w:pPr>
              <w:rPr>
                <w:rFonts w:cstheme="minorHAnsi"/>
              </w:rPr>
            </w:pPr>
            <w:r>
              <w:rPr>
                <w:rFonts w:cstheme="minorHAnsi"/>
              </w:rPr>
              <w:t>Allows Local Authorities to set local Council Tax</w:t>
            </w:r>
          </w:p>
          <w:p w14:paraId="76A4EA71" w14:textId="35C62D0A" w:rsidR="00A64187" w:rsidRPr="00FC2ED5" w:rsidRDefault="00A64187" w:rsidP="004D3A8D">
            <w:pPr>
              <w:rPr>
                <w:rFonts w:cstheme="minorHAnsi"/>
              </w:rPr>
            </w:pPr>
            <w:r>
              <w:t>Changes to the tenancy deposit protection rules: 14-day time limit extended to 30 days.</w:t>
            </w:r>
          </w:p>
        </w:tc>
      </w:tr>
      <w:tr w:rsidR="00A64187" w:rsidRPr="00FC2ED5" w14:paraId="122237B7" w14:textId="77777777" w:rsidTr="0064631C">
        <w:tc>
          <w:tcPr>
            <w:tcW w:w="970" w:type="dxa"/>
            <w:vMerge/>
          </w:tcPr>
          <w:p w14:paraId="0FE2A9D1" w14:textId="77777777" w:rsidR="00A64187" w:rsidRPr="00E806EE" w:rsidRDefault="00A64187" w:rsidP="00E806EE">
            <w:pPr>
              <w:jc w:val="center"/>
              <w:rPr>
                <w:rFonts w:cstheme="minorHAnsi"/>
                <w:sz w:val="24"/>
                <w:szCs w:val="24"/>
              </w:rPr>
            </w:pPr>
          </w:p>
        </w:tc>
        <w:tc>
          <w:tcPr>
            <w:tcW w:w="2693" w:type="dxa"/>
          </w:tcPr>
          <w:p w14:paraId="05996443" w14:textId="421A2EDE" w:rsidR="00A64187" w:rsidRPr="00A64187" w:rsidRDefault="00A64187" w:rsidP="004D3A8D">
            <w:pPr>
              <w:pStyle w:val="Heading2"/>
              <w:spacing w:before="0" w:beforeAutospacing="0" w:after="0" w:afterAutospacing="0"/>
              <w:rPr>
                <w:rFonts w:asciiTheme="minorHAnsi" w:hAnsiTheme="minorHAnsi" w:cstheme="minorHAnsi"/>
                <w:b w:val="0"/>
                <w:bCs w:val="0"/>
                <w:sz w:val="22"/>
                <w:szCs w:val="22"/>
              </w:rPr>
            </w:pPr>
            <w:r w:rsidRPr="00A64187">
              <w:rPr>
                <w:rFonts w:asciiTheme="minorHAnsi" w:hAnsiTheme="minorHAnsi" w:cstheme="minorHAnsi"/>
                <w:b w:val="0"/>
                <w:bCs w:val="0"/>
                <w:sz w:val="22"/>
                <w:szCs w:val="22"/>
              </w:rPr>
              <w:t>Energy Act 2011</w:t>
            </w:r>
          </w:p>
        </w:tc>
        <w:tc>
          <w:tcPr>
            <w:tcW w:w="6379" w:type="dxa"/>
          </w:tcPr>
          <w:p w14:paraId="68A80DB1" w14:textId="5297051D" w:rsidR="00A64187" w:rsidRDefault="00B04EB0" w:rsidP="004D3A8D">
            <w:pPr>
              <w:rPr>
                <w:rFonts w:cstheme="minorHAnsi"/>
              </w:rPr>
            </w:pPr>
            <w:r>
              <w:rPr>
                <w:rFonts w:cstheme="minorHAnsi"/>
              </w:rPr>
              <w:t>Introduced the Green Deal</w:t>
            </w:r>
          </w:p>
        </w:tc>
      </w:tr>
      <w:tr w:rsidR="0049300A" w:rsidRPr="00FC2ED5" w14:paraId="0CC42F27" w14:textId="77777777" w:rsidTr="0064631C">
        <w:tc>
          <w:tcPr>
            <w:tcW w:w="970" w:type="dxa"/>
            <w:vMerge w:val="restart"/>
          </w:tcPr>
          <w:p w14:paraId="21E88781" w14:textId="2CD26E6F" w:rsidR="0049300A" w:rsidRPr="00E806EE" w:rsidRDefault="0049300A" w:rsidP="00E806EE">
            <w:pPr>
              <w:jc w:val="center"/>
              <w:rPr>
                <w:rFonts w:cstheme="minorHAnsi"/>
                <w:sz w:val="24"/>
                <w:szCs w:val="24"/>
              </w:rPr>
            </w:pPr>
            <w:r w:rsidRPr="00E806EE">
              <w:rPr>
                <w:rFonts w:cstheme="minorHAnsi"/>
                <w:sz w:val="24"/>
                <w:szCs w:val="24"/>
              </w:rPr>
              <w:t>2012</w:t>
            </w:r>
          </w:p>
        </w:tc>
        <w:tc>
          <w:tcPr>
            <w:tcW w:w="2693" w:type="dxa"/>
          </w:tcPr>
          <w:p w14:paraId="70A31E6D" w14:textId="4F3B1770" w:rsidR="0049300A" w:rsidRPr="00FC2ED5" w:rsidRDefault="0049300A"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Deposit Protection of Tenants Monies 2007 (Revised 2012)</w:t>
            </w:r>
          </w:p>
        </w:tc>
        <w:tc>
          <w:tcPr>
            <w:tcW w:w="6379" w:type="dxa"/>
          </w:tcPr>
          <w:p w14:paraId="3CD32F23" w14:textId="44F6EAEC" w:rsidR="0049300A" w:rsidRPr="00FC2ED5" w:rsidRDefault="0049300A" w:rsidP="004D3A8D">
            <w:pPr>
              <w:rPr>
                <w:rFonts w:cstheme="minorHAnsi"/>
              </w:rPr>
            </w:pPr>
            <w:r w:rsidRPr="00FC2ED5">
              <w:rPr>
                <w:rFonts w:cstheme="minorHAnsi"/>
              </w:rPr>
              <w:t>The timeframe in which landlords were required to submit their tenants’ deposit to a scheme increased from 14 to 30 days. At the same time, tenants were given the legal right to sue in the event of a landlord not returning their deposit monies.</w:t>
            </w:r>
          </w:p>
        </w:tc>
      </w:tr>
      <w:tr w:rsidR="0049300A" w:rsidRPr="00FC2ED5" w14:paraId="1F6E4D63" w14:textId="77777777" w:rsidTr="0064631C">
        <w:tc>
          <w:tcPr>
            <w:tcW w:w="970" w:type="dxa"/>
            <w:vMerge/>
          </w:tcPr>
          <w:p w14:paraId="17E65A29" w14:textId="5C14D93B" w:rsidR="0049300A" w:rsidRPr="00E806EE" w:rsidRDefault="0049300A" w:rsidP="00E806EE">
            <w:pPr>
              <w:jc w:val="center"/>
              <w:rPr>
                <w:rFonts w:cstheme="minorHAnsi"/>
                <w:sz w:val="24"/>
                <w:szCs w:val="24"/>
              </w:rPr>
            </w:pPr>
          </w:p>
        </w:tc>
        <w:tc>
          <w:tcPr>
            <w:tcW w:w="2693" w:type="dxa"/>
          </w:tcPr>
          <w:p w14:paraId="7B1DA7E4" w14:textId="795AD540" w:rsidR="0049300A" w:rsidRPr="00FC2ED5" w:rsidRDefault="0049300A"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Local Government Finance Act 2012: Council Tax Exemptions</w:t>
            </w:r>
          </w:p>
        </w:tc>
        <w:tc>
          <w:tcPr>
            <w:tcW w:w="6379" w:type="dxa"/>
          </w:tcPr>
          <w:p w14:paraId="3BBEBD3B" w14:textId="68520EE8" w:rsidR="0049300A" w:rsidRPr="00FC2ED5" w:rsidRDefault="0049300A" w:rsidP="004D3A8D">
            <w:pPr>
              <w:rPr>
                <w:rFonts w:cstheme="minorHAnsi"/>
              </w:rPr>
            </w:pPr>
            <w:r w:rsidRPr="00FC2ED5">
              <w:rPr>
                <w:rFonts w:cstheme="minorHAnsi"/>
              </w:rPr>
              <w:t>Allows Councils to alter council tax discounts for second homes and empty properties.</w:t>
            </w:r>
          </w:p>
        </w:tc>
      </w:tr>
      <w:tr w:rsidR="009C6118" w:rsidRPr="00FC2ED5" w14:paraId="4A1F027B" w14:textId="77777777" w:rsidTr="0064631C">
        <w:tc>
          <w:tcPr>
            <w:tcW w:w="970" w:type="dxa"/>
            <w:vMerge w:val="restart"/>
          </w:tcPr>
          <w:p w14:paraId="42EE3925" w14:textId="75E19E5F" w:rsidR="009C6118" w:rsidRPr="00E806EE" w:rsidRDefault="009C6118" w:rsidP="00E806EE">
            <w:pPr>
              <w:jc w:val="center"/>
              <w:rPr>
                <w:rFonts w:cstheme="minorHAnsi"/>
                <w:sz w:val="24"/>
                <w:szCs w:val="24"/>
              </w:rPr>
            </w:pPr>
            <w:r w:rsidRPr="00E806EE">
              <w:rPr>
                <w:rFonts w:cstheme="minorHAnsi"/>
                <w:sz w:val="24"/>
                <w:szCs w:val="24"/>
              </w:rPr>
              <w:t>2014</w:t>
            </w:r>
          </w:p>
        </w:tc>
        <w:tc>
          <w:tcPr>
            <w:tcW w:w="2693" w:type="dxa"/>
          </w:tcPr>
          <w:p w14:paraId="48131410" w14:textId="4F6C2050" w:rsidR="009C6118" w:rsidRPr="009C6118" w:rsidRDefault="009C6118" w:rsidP="004D3A8D">
            <w:pPr>
              <w:pStyle w:val="Heading2"/>
              <w:spacing w:before="0" w:beforeAutospacing="0" w:after="0" w:afterAutospacing="0"/>
              <w:rPr>
                <w:rFonts w:asciiTheme="minorHAnsi" w:hAnsiTheme="minorHAnsi" w:cstheme="minorHAnsi"/>
                <w:b w:val="0"/>
                <w:bCs w:val="0"/>
                <w:sz w:val="22"/>
                <w:szCs w:val="22"/>
              </w:rPr>
            </w:pPr>
            <w:r w:rsidRPr="009C6118">
              <w:rPr>
                <w:rFonts w:asciiTheme="minorHAnsi" w:hAnsiTheme="minorHAnsi" w:cstheme="minorHAnsi"/>
                <w:b w:val="0"/>
                <w:bCs w:val="0"/>
                <w:sz w:val="22"/>
                <w:szCs w:val="22"/>
              </w:rPr>
              <w:t>Anti-social Behaviour, Crime and Policing Act 2014</w:t>
            </w:r>
          </w:p>
        </w:tc>
        <w:tc>
          <w:tcPr>
            <w:tcW w:w="6379" w:type="dxa"/>
          </w:tcPr>
          <w:p w14:paraId="2573CE0F" w14:textId="77777777" w:rsidR="009C6118" w:rsidRDefault="009C6118" w:rsidP="004D3A8D">
            <w:r>
              <w:t xml:space="preserve">Closure Notices and Orders </w:t>
            </w:r>
          </w:p>
          <w:p w14:paraId="40B1821E" w14:textId="77777777" w:rsidR="009C6118" w:rsidRDefault="009C6118" w:rsidP="004D3A8D">
            <w:r>
              <w:t xml:space="preserve">New mandatory ground for possession Ground 7A </w:t>
            </w:r>
          </w:p>
          <w:p w14:paraId="1EF57891" w14:textId="418FB221" w:rsidR="009C6118" w:rsidRPr="00FC2ED5" w:rsidRDefault="009C6118" w:rsidP="004D3A8D">
            <w:pPr>
              <w:rPr>
                <w:rFonts w:cstheme="minorHAnsi"/>
              </w:rPr>
            </w:pPr>
            <w:r>
              <w:t>New discretionary grounds for possession Grounds 14(aa) and Ground 14ZA</w:t>
            </w:r>
          </w:p>
        </w:tc>
      </w:tr>
      <w:tr w:rsidR="009C6118" w:rsidRPr="00FC2ED5" w14:paraId="6871473D" w14:textId="77777777" w:rsidTr="0064631C">
        <w:tc>
          <w:tcPr>
            <w:tcW w:w="970" w:type="dxa"/>
            <w:vMerge/>
          </w:tcPr>
          <w:p w14:paraId="2102914C" w14:textId="77777777" w:rsidR="009C6118" w:rsidRPr="00E806EE" w:rsidRDefault="009C6118" w:rsidP="00E806EE">
            <w:pPr>
              <w:jc w:val="center"/>
              <w:rPr>
                <w:rFonts w:cstheme="minorHAnsi"/>
                <w:sz w:val="24"/>
                <w:szCs w:val="24"/>
              </w:rPr>
            </w:pPr>
          </w:p>
        </w:tc>
        <w:tc>
          <w:tcPr>
            <w:tcW w:w="2693" w:type="dxa"/>
          </w:tcPr>
          <w:p w14:paraId="7A8CCFC5" w14:textId="6CCED72B" w:rsidR="009C6118" w:rsidRPr="009C6118" w:rsidRDefault="009C6118" w:rsidP="004D3A8D">
            <w:pPr>
              <w:pStyle w:val="Heading2"/>
              <w:spacing w:before="0" w:beforeAutospacing="0" w:after="0" w:afterAutospacing="0"/>
              <w:rPr>
                <w:rFonts w:asciiTheme="minorHAnsi" w:hAnsiTheme="minorHAnsi" w:cstheme="minorHAnsi"/>
                <w:b w:val="0"/>
                <w:bCs w:val="0"/>
                <w:sz w:val="22"/>
                <w:szCs w:val="22"/>
              </w:rPr>
            </w:pPr>
            <w:r w:rsidRPr="009C6118">
              <w:rPr>
                <w:rFonts w:asciiTheme="minorHAnsi" w:hAnsiTheme="minorHAnsi" w:cstheme="minorHAnsi"/>
                <w:b w:val="0"/>
                <w:bCs w:val="0"/>
                <w:sz w:val="22"/>
                <w:szCs w:val="22"/>
              </w:rPr>
              <w:t>Redress Schemes for Lettings Agency Work and Property Management Work</w:t>
            </w:r>
          </w:p>
        </w:tc>
        <w:tc>
          <w:tcPr>
            <w:tcW w:w="6379" w:type="dxa"/>
          </w:tcPr>
          <w:p w14:paraId="070BBD7E" w14:textId="27945498" w:rsidR="009C6118" w:rsidRDefault="009C6118" w:rsidP="004D3A8D">
            <w:r>
              <w:t>Agents must belong to a redress scheme</w:t>
            </w:r>
          </w:p>
        </w:tc>
      </w:tr>
      <w:tr w:rsidR="0084207F" w:rsidRPr="00FC2ED5" w14:paraId="48C40BEC" w14:textId="77777777" w:rsidTr="0064631C">
        <w:tc>
          <w:tcPr>
            <w:tcW w:w="970" w:type="dxa"/>
          </w:tcPr>
          <w:p w14:paraId="69E07649" w14:textId="20CF8D14" w:rsidR="0084207F" w:rsidRPr="00E806EE" w:rsidRDefault="0084207F" w:rsidP="00E806EE">
            <w:pPr>
              <w:jc w:val="center"/>
              <w:rPr>
                <w:rFonts w:cstheme="minorHAnsi"/>
                <w:sz w:val="24"/>
                <w:szCs w:val="24"/>
              </w:rPr>
            </w:pPr>
            <w:r w:rsidRPr="00E806EE">
              <w:rPr>
                <w:rFonts w:cstheme="minorHAnsi"/>
                <w:sz w:val="24"/>
                <w:szCs w:val="24"/>
              </w:rPr>
              <w:t>2015</w:t>
            </w:r>
          </w:p>
        </w:tc>
        <w:tc>
          <w:tcPr>
            <w:tcW w:w="2693" w:type="dxa"/>
          </w:tcPr>
          <w:p w14:paraId="6326C5F4" w14:textId="56EC4A9D" w:rsidR="0084207F" w:rsidRPr="00FC2ED5" w:rsidRDefault="0084207F"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Deregulation Act 2015 (and Revision)</w:t>
            </w:r>
          </w:p>
        </w:tc>
        <w:tc>
          <w:tcPr>
            <w:tcW w:w="6379" w:type="dxa"/>
          </w:tcPr>
          <w:p w14:paraId="211A71FF" w14:textId="50BDBF68" w:rsidR="0084207F" w:rsidRPr="00FC2ED5" w:rsidRDefault="0084207F" w:rsidP="004D3A8D">
            <w:pPr>
              <w:rPr>
                <w:rFonts w:cstheme="minorHAnsi"/>
              </w:rPr>
            </w:pPr>
            <w:r w:rsidRPr="00FC2ED5">
              <w:rPr>
                <w:rFonts w:cstheme="minorHAnsi"/>
              </w:rPr>
              <w:t>Retaliatory Evictions: prohibit</w:t>
            </w:r>
            <w:r>
              <w:rPr>
                <w:rFonts w:cstheme="minorHAnsi"/>
              </w:rPr>
              <w:t>ed</w:t>
            </w:r>
            <w:r w:rsidRPr="00FC2ED5">
              <w:rPr>
                <w:rFonts w:cstheme="minorHAnsi"/>
              </w:rPr>
              <w:t xml:space="preserve"> landlords from serving a Section 21 notice (no-fault eviction) in response to a tenant's legitimate complaint about the condition of the property.</w:t>
            </w:r>
            <w:r>
              <w:rPr>
                <w:rFonts w:cstheme="minorHAnsi"/>
              </w:rPr>
              <w:t xml:space="preserve"> </w:t>
            </w:r>
          </w:p>
          <w:p w14:paraId="5FDA69EB" w14:textId="2758C1CD" w:rsidR="0084207F" w:rsidRPr="00FC2ED5" w:rsidRDefault="0084207F" w:rsidP="004D3A8D">
            <w:pPr>
              <w:rPr>
                <w:rFonts w:cstheme="minorHAnsi"/>
              </w:rPr>
            </w:pPr>
            <w:r w:rsidRPr="00FC2ED5">
              <w:rPr>
                <w:rFonts w:cstheme="minorHAnsi"/>
              </w:rPr>
              <w:t>Prescribed Information: Landlords are required to provide tenants with certain prescribed information, including a copy of the government's "How to Rent" guide, gas safety certificate, and energy performance certificate.</w:t>
            </w:r>
            <w:r>
              <w:rPr>
                <w:rFonts w:cstheme="minorHAnsi"/>
              </w:rPr>
              <w:t xml:space="preserve"> </w:t>
            </w:r>
          </w:p>
          <w:p w14:paraId="78ECD1F2" w14:textId="576A13E9" w:rsidR="0084207F" w:rsidRPr="00FC2ED5" w:rsidRDefault="0084207F" w:rsidP="004D3A8D">
            <w:pPr>
              <w:rPr>
                <w:rFonts w:cstheme="minorHAnsi"/>
              </w:rPr>
            </w:pPr>
            <w:r w:rsidRPr="00FC2ED5">
              <w:rPr>
                <w:rFonts w:cstheme="minorHAnsi"/>
              </w:rPr>
              <w:t>Deposit Protection: The Act clarified and strengthened deposit protection rules</w:t>
            </w:r>
            <w:r>
              <w:rPr>
                <w:rFonts w:cstheme="minorHAnsi"/>
              </w:rPr>
              <w:t xml:space="preserve">. </w:t>
            </w:r>
          </w:p>
          <w:p w14:paraId="04D02C44" w14:textId="35B8997D" w:rsidR="0084207F" w:rsidRPr="00FC2ED5" w:rsidRDefault="0084207F" w:rsidP="004D3A8D">
            <w:pPr>
              <w:rPr>
                <w:rFonts w:cstheme="minorHAnsi"/>
              </w:rPr>
            </w:pPr>
            <w:r w:rsidRPr="00FC2ED5">
              <w:rPr>
                <w:rFonts w:cstheme="minorHAnsi"/>
              </w:rPr>
              <w:t>Limitations on Rent Increases: Restrictions were introduced on the frequency of rent increases for Assured Shorthold Tenancies (ASTs), limiting landlords to one rent increase per 12-month period.</w:t>
            </w:r>
            <w:r>
              <w:rPr>
                <w:rFonts w:cstheme="minorHAnsi"/>
              </w:rPr>
              <w:t xml:space="preserve"> </w:t>
            </w:r>
          </w:p>
          <w:p w14:paraId="234DC058" w14:textId="45029A5E" w:rsidR="0084207F" w:rsidRPr="00FC2ED5" w:rsidRDefault="0084207F" w:rsidP="004D3A8D">
            <w:pPr>
              <w:rPr>
                <w:rFonts w:cstheme="minorHAnsi"/>
              </w:rPr>
            </w:pPr>
            <w:r w:rsidRPr="00FC2ED5">
              <w:rPr>
                <w:rFonts w:cstheme="minorHAnsi"/>
              </w:rPr>
              <w:t>Abandonment of Property: The Act provided a process for landlords to deal with abandoned properties, streamlining the process for regaining possession in such cases.</w:t>
            </w:r>
            <w:r>
              <w:rPr>
                <w:rFonts w:cstheme="minorHAnsi"/>
              </w:rPr>
              <w:t xml:space="preserve"> </w:t>
            </w:r>
          </w:p>
          <w:p w14:paraId="61851002" w14:textId="0FE8EB22" w:rsidR="0084207F" w:rsidRPr="00FC2ED5" w:rsidRDefault="0084207F" w:rsidP="004D3A8D">
            <w:pPr>
              <w:rPr>
                <w:rFonts w:cstheme="minorHAnsi"/>
              </w:rPr>
            </w:pPr>
            <w:r w:rsidRPr="00FC2ED5">
              <w:rPr>
                <w:rFonts w:cstheme="minorHAnsi"/>
              </w:rPr>
              <w:t>Changes to Section 21 Notices: The Act introduced changes to the Section 21 eviction process, including restrictions on serving a Section 21 notice during the first four months of a tenancy and the introduction of a six-month notice period.</w:t>
            </w:r>
          </w:p>
        </w:tc>
      </w:tr>
    </w:tbl>
    <w:p w14:paraId="5BF8E6A6" w14:textId="77777777" w:rsidR="00EE5F74" w:rsidRDefault="00EE5F74">
      <w:r>
        <w:br w:type="page"/>
      </w:r>
    </w:p>
    <w:tbl>
      <w:tblPr>
        <w:tblStyle w:val="TableGrid"/>
        <w:tblW w:w="0" w:type="auto"/>
        <w:tblLook w:val="04A0" w:firstRow="1" w:lastRow="0" w:firstColumn="1" w:lastColumn="0" w:noHBand="0" w:noVBand="1"/>
      </w:tblPr>
      <w:tblGrid>
        <w:gridCol w:w="970"/>
        <w:gridCol w:w="2693"/>
        <w:gridCol w:w="6379"/>
      </w:tblGrid>
      <w:tr w:rsidR="0084207F" w:rsidRPr="00FC2ED5" w14:paraId="346E08CF" w14:textId="77777777" w:rsidTr="0064631C">
        <w:tc>
          <w:tcPr>
            <w:tcW w:w="970" w:type="dxa"/>
            <w:vMerge w:val="restart"/>
          </w:tcPr>
          <w:p w14:paraId="25478464" w14:textId="21DF63D9" w:rsidR="0084207F" w:rsidRPr="00E806EE" w:rsidRDefault="00EE5F74" w:rsidP="00E806EE">
            <w:pPr>
              <w:jc w:val="center"/>
              <w:rPr>
                <w:rFonts w:cstheme="minorHAnsi"/>
                <w:sz w:val="24"/>
                <w:szCs w:val="24"/>
              </w:rPr>
            </w:pPr>
            <w:r>
              <w:rPr>
                <w:rFonts w:cstheme="minorHAnsi"/>
                <w:sz w:val="24"/>
                <w:szCs w:val="24"/>
              </w:rPr>
              <w:lastRenderedPageBreak/>
              <w:t>2015</w:t>
            </w:r>
          </w:p>
        </w:tc>
        <w:tc>
          <w:tcPr>
            <w:tcW w:w="2693" w:type="dxa"/>
          </w:tcPr>
          <w:p w14:paraId="43AEC7FF" w14:textId="131A2F3C" w:rsidR="0084207F" w:rsidRPr="00FC2ED5" w:rsidRDefault="0084207F"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The Smoke and Carbon Monoxide Alarm (England) Regulations 2015</w:t>
            </w:r>
          </w:p>
        </w:tc>
        <w:tc>
          <w:tcPr>
            <w:tcW w:w="6379" w:type="dxa"/>
          </w:tcPr>
          <w:p w14:paraId="233B490C" w14:textId="1F3B0EEB" w:rsidR="0084207F" w:rsidRPr="00FC2ED5" w:rsidRDefault="0084207F" w:rsidP="004D3A8D">
            <w:pPr>
              <w:rPr>
                <w:rFonts w:cstheme="minorHAnsi"/>
              </w:rPr>
            </w:pPr>
            <w:r w:rsidRPr="00FC2ED5">
              <w:rPr>
                <w:rFonts w:cstheme="minorHAnsi"/>
              </w:rPr>
              <w:t>Landlords are required to install smoke alarms on each floor of a rented property where there is living accommodation. Carbon monoxide alarms must be installed in rooms containing a solid fuel-burning appliance.</w:t>
            </w:r>
          </w:p>
        </w:tc>
      </w:tr>
      <w:tr w:rsidR="0084207F" w:rsidRPr="00FC2ED5" w14:paraId="4D9039B8" w14:textId="77777777" w:rsidTr="0064631C">
        <w:tc>
          <w:tcPr>
            <w:tcW w:w="970" w:type="dxa"/>
            <w:vMerge/>
          </w:tcPr>
          <w:p w14:paraId="33DC42CD" w14:textId="77777777" w:rsidR="0084207F" w:rsidRPr="00E806EE" w:rsidRDefault="0084207F" w:rsidP="00E806EE">
            <w:pPr>
              <w:jc w:val="center"/>
              <w:rPr>
                <w:rFonts w:cstheme="minorHAnsi"/>
                <w:sz w:val="24"/>
                <w:szCs w:val="24"/>
              </w:rPr>
            </w:pPr>
          </w:p>
        </w:tc>
        <w:tc>
          <w:tcPr>
            <w:tcW w:w="2693" w:type="dxa"/>
          </w:tcPr>
          <w:p w14:paraId="23FB8DAA" w14:textId="0BCF0CEA" w:rsidR="0084207F" w:rsidRPr="00AE49E5" w:rsidRDefault="0084207F" w:rsidP="004D3A8D">
            <w:pPr>
              <w:pStyle w:val="Heading2"/>
              <w:spacing w:before="0" w:beforeAutospacing="0" w:after="0" w:afterAutospacing="0"/>
              <w:rPr>
                <w:rFonts w:asciiTheme="minorHAnsi" w:hAnsiTheme="minorHAnsi" w:cstheme="minorHAnsi"/>
                <w:b w:val="0"/>
                <w:bCs w:val="0"/>
                <w:sz w:val="20"/>
                <w:szCs w:val="20"/>
              </w:rPr>
            </w:pPr>
            <w:r w:rsidRPr="00AE49E5">
              <w:rPr>
                <w:rFonts w:asciiTheme="minorHAnsi" w:hAnsiTheme="minorHAnsi" w:cstheme="minorHAnsi"/>
                <w:b w:val="0"/>
                <w:bCs w:val="0"/>
                <w:sz w:val="20"/>
                <w:szCs w:val="20"/>
              </w:rPr>
              <w:t>The Assured Shorthold Tenancy Notices and Prescribed Requirements (England) Regulations 2015</w:t>
            </w:r>
          </w:p>
        </w:tc>
        <w:tc>
          <w:tcPr>
            <w:tcW w:w="6379" w:type="dxa"/>
          </w:tcPr>
          <w:p w14:paraId="04766869" w14:textId="78FAD50E" w:rsidR="0084207F" w:rsidRPr="00FC2ED5" w:rsidRDefault="0084207F" w:rsidP="004D3A8D">
            <w:pPr>
              <w:rPr>
                <w:rFonts w:cstheme="minorHAnsi"/>
              </w:rPr>
            </w:pPr>
            <w:r>
              <w:t>Requires landlords to serve an EPC, gas safety certificate and how to rent booklet or lose the right to use section 21 notices.</w:t>
            </w:r>
          </w:p>
        </w:tc>
      </w:tr>
      <w:tr w:rsidR="0084207F" w:rsidRPr="00FC2ED5" w14:paraId="5E6A3ED6" w14:textId="77777777" w:rsidTr="0064631C">
        <w:tc>
          <w:tcPr>
            <w:tcW w:w="970" w:type="dxa"/>
            <w:vMerge/>
          </w:tcPr>
          <w:p w14:paraId="31031CD0" w14:textId="77777777" w:rsidR="0084207F" w:rsidRPr="00E806EE" w:rsidRDefault="0084207F" w:rsidP="00E806EE">
            <w:pPr>
              <w:jc w:val="center"/>
              <w:rPr>
                <w:rFonts w:cstheme="minorHAnsi"/>
                <w:sz w:val="24"/>
                <w:szCs w:val="24"/>
              </w:rPr>
            </w:pPr>
          </w:p>
        </w:tc>
        <w:tc>
          <w:tcPr>
            <w:tcW w:w="2693" w:type="dxa"/>
          </w:tcPr>
          <w:p w14:paraId="5F7530A7" w14:textId="076919B2" w:rsidR="0084207F" w:rsidRPr="00AE49E5" w:rsidRDefault="0084207F" w:rsidP="004D3A8D">
            <w:pPr>
              <w:pStyle w:val="Heading2"/>
              <w:spacing w:before="0" w:beforeAutospacing="0" w:after="0" w:afterAutospacing="0"/>
              <w:rPr>
                <w:rFonts w:asciiTheme="minorHAnsi" w:hAnsiTheme="minorHAnsi" w:cstheme="minorHAnsi"/>
                <w:b w:val="0"/>
                <w:bCs w:val="0"/>
                <w:sz w:val="20"/>
                <w:szCs w:val="20"/>
              </w:rPr>
            </w:pPr>
            <w:r w:rsidRPr="00AE49E5">
              <w:rPr>
                <w:rFonts w:asciiTheme="minorHAnsi" w:hAnsiTheme="minorHAnsi" w:cstheme="minorHAnsi"/>
                <w:b w:val="0"/>
                <w:bCs w:val="0"/>
                <w:sz w:val="20"/>
                <w:szCs w:val="20"/>
              </w:rPr>
              <w:t>Consumer Rights Act 2015</w:t>
            </w:r>
          </w:p>
        </w:tc>
        <w:tc>
          <w:tcPr>
            <w:tcW w:w="6379" w:type="dxa"/>
          </w:tcPr>
          <w:p w14:paraId="2DD84F62" w14:textId="761E0201" w:rsidR="0084207F" w:rsidRPr="00FC2ED5" w:rsidRDefault="0084207F" w:rsidP="004D3A8D">
            <w:pPr>
              <w:rPr>
                <w:rFonts w:cstheme="minorHAnsi"/>
              </w:rPr>
            </w:pPr>
            <w:r>
              <w:t>Requirement for contract terms and notices to be fair.</w:t>
            </w:r>
          </w:p>
        </w:tc>
      </w:tr>
      <w:tr w:rsidR="0084207F" w:rsidRPr="00FC2ED5" w14:paraId="2219E028" w14:textId="77777777" w:rsidTr="0064631C">
        <w:tc>
          <w:tcPr>
            <w:tcW w:w="970" w:type="dxa"/>
            <w:vMerge/>
          </w:tcPr>
          <w:p w14:paraId="6C5C41F6" w14:textId="77777777" w:rsidR="0084207F" w:rsidRPr="00E806EE" w:rsidRDefault="0084207F" w:rsidP="00E806EE">
            <w:pPr>
              <w:jc w:val="center"/>
              <w:rPr>
                <w:rFonts w:cstheme="minorHAnsi"/>
                <w:sz w:val="24"/>
                <w:szCs w:val="24"/>
              </w:rPr>
            </w:pPr>
          </w:p>
        </w:tc>
        <w:tc>
          <w:tcPr>
            <w:tcW w:w="2693" w:type="dxa"/>
          </w:tcPr>
          <w:p w14:paraId="2A5B5A6D" w14:textId="7ABCE17A" w:rsidR="0084207F" w:rsidRPr="0084207F" w:rsidRDefault="0084207F" w:rsidP="004D3A8D">
            <w:pPr>
              <w:pStyle w:val="Heading2"/>
              <w:spacing w:before="0" w:beforeAutospacing="0" w:after="0" w:afterAutospacing="0"/>
              <w:rPr>
                <w:rFonts w:asciiTheme="minorHAnsi" w:hAnsiTheme="minorHAnsi" w:cstheme="minorHAnsi"/>
                <w:b w:val="0"/>
                <w:bCs w:val="0"/>
                <w:sz w:val="20"/>
                <w:szCs w:val="20"/>
              </w:rPr>
            </w:pPr>
            <w:r w:rsidRPr="0084207F">
              <w:rPr>
                <w:rFonts w:asciiTheme="minorHAnsi" w:hAnsiTheme="minorHAnsi" w:cstheme="minorHAnsi"/>
                <w:b w:val="0"/>
                <w:bCs w:val="0"/>
                <w:sz w:val="20"/>
                <w:szCs w:val="20"/>
              </w:rPr>
              <w:t>The Town and Country Planning (General Permitted Development) (England) Order 2015</w:t>
            </w:r>
          </w:p>
        </w:tc>
        <w:tc>
          <w:tcPr>
            <w:tcW w:w="6379" w:type="dxa"/>
          </w:tcPr>
          <w:p w14:paraId="68BA1D5B" w14:textId="77777777" w:rsidR="0084207F" w:rsidRDefault="0084207F" w:rsidP="004D3A8D">
            <w:r>
              <w:t xml:space="preserve">Sets out which developments do not need planning permission to go ahead. </w:t>
            </w:r>
          </w:p>
          <w:p w14:paraId="0DA8DC58" w14:textId="507662D3" w:rsidR="0084207F" w:rsidRDefault="0084207F" w:rsidP="004D3A8D">
            <w:r>
              <w:t>Sets out the procedure for implementing Article 4 directions in an area.</w:t>
            </w:r>
          </w:p>
        </w:tc>
      </w:tr>
      <w:tr w:rsidR="0084207F" w:rsidRPr="00FC2ED5" w14:paraId="4DC98597" w14:textId="77777777" w:rsidTr="0064631C">
        <w:tc>
          <w:tcPr>
            <w:tcW w:w="970" w:type="dxa"/>
            <w:vMerge/>
          </w:tcPr>
          <w:p w14:paraId="1D881612" w14:textId="77777777" w:rsidR="0084207F" w:rsidRPr="00E806EE" w:rsidRDefault="0084207F" w:rsidP="00E806EE">
            <w:pPr>
              <w:jc w:val="center"/>
              <w:rPr>
                <w:rFonts w:cstheme="minorHAnsi"/>
                <w:sz w:val="24"/>
                <w:szCs w:val="24"/>
              </w:rPr>
            </w:pPr>
          </w:p>
        </w:tc>
        <w:tc>
          <w:tcPr>
            <w:tcW w:w="2693" w:type="dxa"/>
          </w:tcPr>
          <w:p w14:paraId="08C38117" w14:textId="78B440AF" w:rsidR="0084207F" w:rsidRPr="0084207F" w:rsidRDefault="0084207F" w:rsidP="004D3A8D">
            <w:pPr>
              <w:pStyle w:val="Heading2"/>
              <w:spacing w:before="0" w:beforeAutospacing="0" w:after="0" w:afterAutospacing="0"/>
              <w:rPr>
                <w:rFonts w:asciiTheme="minorHAnsi" w:hAnsiTheme="minorHAnsi" w:cstheme="minorHAnsi"/>
                <w:b w:val="0"/>
                <w:bCs w:val="0"/>
                <w:sz w:val="20"/>
                <w:szCs w:val="20"/>
              </w:rPr>
            </w:pPr>
            <w:r w:rsidRPr="0084207F">
              <w:rPr>
                <w:rFonts w:asciiTheme="minorHAnsi" w:hAnsiTheme="minorHAnsi" w:cstheme="minorHAnsi"/>
                <w:b w:val="0"/>
                <w:bCs w:val="0"/>
                <w:sz w:val="20"/>
                <w:szCs w:val="20"/>
              </w:rPr>
              <w:t>Construction (Design and Management) Regulations 2015</w:t>
            </w:r>
          </w:p>
        </w:tc>
        <w:tc>
          <w:tcPr>
            <w:tcW w:w="6379" w:type="dxa"/>
          </w:tcPr>
          <w:p w14:paraId="4F3C0CF2" w14:textId="1B6D076C" w:rsidR="0084207F" w:rsidRDefault="0084207F" w:rsidP="004D3A8D">
            <w:r>
              <w:t>Obligations to ensure minimum safety and health requirements on construction sites.</w:t>
            </w:r>
          </w:p>
        </w:tc>
      </w:tr>
      <w:tr w:rsidR="007C5630" w:rsidRPr="00FC2ED5" w14:paraId="28DF2563" w14:textId="77777777" w:rsidTr="0064631C">
        <w:tc>
          <w:tcPr>
            <w:tcW w:w="970" w:type="dxa"/>
            <w:vMerge w:val="restart"/>
          </w:tcPr>
          <w:p w14:paraId="386A4A4A" w14:textId="09257F44" w:rsidR="007C5630" w:rsidRPr="00E806EE" w:rsidRDefault="007C5630" w:rsidP="00E806EE">
            <w:pPr>
              <w:jc w:val="center"/>
              <w:rPr>
                <w:rFonts w:cstheme="minorHAnsi"/>
                <w:sz w:val="24"/>
                <w:szCs w:val="24"/>
              </w:rPr>
            </w:pPr>
            <w:r w:rsidRPr="00E806EE">
              <w:rPr>
                <w:rFonts w:cstheme="minorHAnsi"/>
                <w:sz w:val="24"/>
                <w:szCs w:val="24"/>
              </w:rPr>
              <w:t>2016</w:t>
            </w:r>
          </w:p>
        </w:tc>
        <w:tc>
          <w:tcPr>
            <w:tcW w:w="2693" w:type="dxa"/>
          </w:tcPr>
          <w:p w14:paraId="60B0DD83" w14:textId="4DFB7DBE" w:rsidR="007C5630" w:rsidRPr="00FC2ED5" w:rsidRDefault="007C5630"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Finance Bill 2016: Stamp Duty Land Tax (SDLT), Wear and Tear Allowance</w:t>
            </w:r>
          </w:p>
        </w:tc>
        <w:tc>
          <w:tcPr>
            <w:tcW w:w="6379" w:type="dxa"/>
          </w:tcPr>
          <w:p w14:paraId="26ADB4B1" w14:textId="77777777" w:rsidR="007C5630" w:rsidRPr="00FC2ED5" w:rsidRDefault="007C5630" w:rsidP="004D3A8D">
            <w:pPr>
              <w:rPr>
                <w:rFonts w:cstheme="minorHAnsi"/>
              </w:rPr>
            </w:pPr>
            <w:r w:rsidRPr="00FC2ED5">
              <w:rPr>
                <w:rFonts w:cstheme="minorHAnsi"/>
              </w:rPr>
              <w:t>Applied a 3% surcharge on Stamp Duty Land Tax rates for buy-to-let properties and additional homes.</w:t>
            </w:r>
          </w:p>
          <w:p w14:paraId="7C2EC241" w14:textId="22F4A148" w:rsidR="007C5630" w:rsidRPr="00FC2ED5" w:rsidRDefault="007C5630" w:rsidP="004D3A8D">
            <w:pPr>
              <w:rPr>
                <w:rFonts w:cstheme="minorHAnsi"/>
              </w:rPr>
            </w:pPr>
            <w:r w:rsidRPr="00FC2ED5">
              <w:rPr>
                <w:rFonts w:cstheme="minorHAnsi"/>
              </w:rPr>
              <w:t>Exchanged the 10% annual wear and tear allowance for a new system to cover replacement costs only</w:t>
            </w:r>
          </w:p>
        </w:tc>
      </w:tr>
      <w:tr w:rsidR="007C5630" w:rsidRPr="00FC2ED5" w14:paraId="41DA5956" w14:textId="77777777" w:rsidTr="0064631C">
        <w:tc>
          <w:tcPr>
            <w:tcW w:w="970" w:type="dxa"/>
            <w:vMerge/>
          </w:tcPr>
          <w:p w14:paraId="5A61EE9E" w14:textId="77777777" w:rsidR="007C5630" w:rsidRPr="00E806EE" w:rsidRDefault="007C5630" w:rsidP="00E806EE">
            <w:pPr>
              <w:jc w:val="center"/>
              <w:rPr>
                <w:rFonts w:cstheme="minorHAnsi"/>
                <w:sz w:val="24"/>
                <w:szCs w:val="24"/>
              </w:rPr>
            </w:pPr>
          </w:p>
        </w:tc>
        <w:tc>
          <w:tcPr>
            <w:tcW w:w="2693" w:type="dxa"/>
          </w:tcPr>
          <w:p w14:paraId="378A319D" w14:textId="77777777" w:rsidR="007C5630" w:rsidRDefault="007C5630"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 xml:space="preserve">Finance Bill 2016: </w:t>
            </w:r>
          </w:p>
          <w:p w14:paraId="7A0C0D58" w14:textId="4B9E20B0" w:rsidR="007C5630" w:rsidRPr="00FC2ED5" w:rsidRDefault="007C5630"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Section 24</w:t>
            </w:r>
          </w:p>
        </w:tc>
        <w:tc>
          <w:tcPr>
            <w:tcW w:w="6379" w:type="dxa"/>
          </w:tcPr>
          <w:p w14:paraId="3B68E307" w14:textId="0C58D2D0" w:rsidR="007C5630" w:rsidRPr="00FC2ED5" w:rsidRDefault="007C5630" w:rsidP="004D3A8D">
            <w:pPr>
              <w:rPr>
                <w:rFonts w:cstheme="minorHAnsi"/>
              </w:rPr>
            </w:pPr>
            <w:r w:rsidRPr="00FC2ED5">
              <w:rPr>
                <w:rFonts w:cstheme="minorHAnsi"/>
              </w:rPr>
              <w:t>Introduced a restriction on tax relief on buy-to-let mortgages.</w:t>
            </w:r>
          </w:p>
        </w:tc>
      </w:tr>
      <w:tr w:rsidR="007C5630" w:rsidRPr="00FC2ED5" w14:paraId="2A8A0D17" w14:textId="77777777" w:rsidTr="0064631C">
        <w:tc>
          <w:tcPr>
            <w:tcW w:w="970" w:type="dxa"/>
            <w:vMerge/>
          </w:tcPr>
          <w:p w14:paraId="425224C8" w14:textId="77777777" w:rsidR="007C5630" w:rsidRPr="00E806EE" w:rsidRDefault="007C5630" w:rsidP="00E806EE">
            <w:pPr>
              <w:jc w:val="center"/>
              <w:rPr>
                <w:rFonts w:cstheme="minorHAnsi"/>
                <w:sz w:val="24"/>
                <w:szCs w:val="24"/>
              </w:rPr>
            </w:pPr>
          </w:p>
        </w:tc>
        <w:tc>
          <w:tcPr>
            <w:tcW w:w="2693" w:type="dxa"/>
          </w:tcPr>
          <w:p w14:paraId="6459E418" w14:textId="11BAC5AC" w:rsidR="007C5630" w:rsidRPr="00FC2ED5" w:rsidRDefault="007C5630"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Immigration Act 2016: Right to Rent</w:t>
            </w:r>
          </w:p>
        </w:tc>
        <w:tc>
          <w:tcPr>
            <w:tcW w:w="6379" w:type="dxa"/>
          </w:tcPr>
          <w:p w14:paraId="67906BF2" w14:textId="6FDE83D7" w:rsidR="007C5630" w:rsidRPr="00FC2ED5" w:rsidRDefault="007C5630" w:rsidP="004D3A8D">
            <w:pPr>
              <w:rPr>
                <w:rFonts w:cstheme="minorHAnsi"/>
              </w:rPr>
            </w:pPr>
            <w:r w:rsidRPr="00FC2ED5">
              <w:rPr>
                <w:rFonts w:cstheme="minorHAnsi"/>
              </w:rPr>
              <w:t>Requires private landlords to conduct background checks into potential tenants from outside of the United Kingdom.</w:t>
            </w:r>
          </w:p>
        </w:tc>
      </w:tr>
      <w:tr w:rsidR="007C5630" w:rsidRPr="00FC2ED5" w14:paraId="3F98C457" w14:textId="77777777" w:rsidTr="0064631C">
        <w:tc>
          <w:tcPr>
            <w:tcW w:w="970" w:type="dxa"/>
            <w:vMerge/>
          </w:tcPr>
          <w:p w14:paraId="202482DF" w14:textId="77777777" w:rsidR="007C5630" w:rsidRPr="00E806EE" w:rsidRDefault="007C5630" w:rsidP="00E806EE">
            <w:pPr>
              <w:jc w:val="center"/>
              <w:rPr>
                <w:rFonts w:cstheme="minorHAnsi"/>
                <w:sz w:val="24"/>
                <w:szCs w:val="24"/>
              </w:rPr>
            </w:pPr>
          </w:p>
        </w:tc>
        <w:tc>
          <w:tcPr>
            <w:tcW w:w="2693" w:type="dxa"/>
          </w:tcPr>
          <w:p w14:paraId="33BD65FA" w14:textId="21411DE2" w:rsidR="007C5630" w:rsidRPr="007D1B82" w:rsidRDefault="007C5630" w:rsidP="004D3A8D">
            <w:pPr>
              <w:pStyle w:val="Heading2"/>
              <w:spacing w:before="0" w:beforeAutospacing="0" w:after="0" w:afterAutospacing="0"/>
              <w:rPr>
                <w:rFonts w:asciiTheme="minorHAnsi" w:hAnsiTheme="minorHAnsi" w:cstheme="minorHAnsi"/>
                <w:b w:val="0"/>
                <w:bCs w:val="0"/>
                <w:sz w:val="22"/>
                <w:szCs w:val="22"/>
              </w:rPr>
            </w:pPr>
            <w:r w:rsidRPr="007D1B82">
              <w:rPr>
                <w:rFonts w:asciiTheme="minorHAnsi" w:hAnsiTheme="minorHAnsi" w:cstheme="minorHAnsi"/>
                <w:b w:val="0"/>
                <w:bCs w:val="0"/>
                <w:sz w:val="22"/>
                <w:szCs w:val="22"/>
              </w:rPr>
              <w:t>Housing and Planning Act 2016</w:t>
            </w:r>
          </w:p>
        </w:tc>
        <w:tc>
          <w:tcPr>
            <w:tcW w:w="6379" w:type="dxa"/>
          </w:tcPr>
          <w:p w14:paraId="03FDEDCF" w14:textId="02D1AC8E" w:rsidR="007C5630" w:rsidRPr="00FC2ED5" w:rsidRDefault="007C5630" w:rsidP="004D3A8D">
            <w:pPr>
              <w:rPr>
                <w:rFonts w:cstheme="minorHAnsi"/>
              </w:rPr>
            </w:pPr>
            <w:r>
              <w:t>Creates a rogue landlord database.  Introduces banning orders. Introduces civil penalties.</w:t>
            </w:r>
          </w:p>
        </w:tc>
      </w:tr>
      <w:tr w:rsidR="007C5630" w:rsidRPr="00FC2ED5" w14:paraId="0BBB7C2A" w14:textId="77777777" w:rsidTr="0064631C">
        <w:tc>
          <w:tcPr>
            <w:tcW w:w="970" w:type="dxa"/>
            <w:vMerge w:val="restart"/>
          </w:tcPr>
          <w:p w14:paraId="5A5DBE1A" w14:textId="6795D46C" w:rsidR="007C5630" w:rsidRPr="00E806EE" w:rsidRDefault="007C5630" w:rsidP="00E806EE">
            <w:pPr>
              <w:jc w:val="center"/>
              <w:rPr>
                <w:rFonts w:cstheme="minorHAnsi"/>
                <w:sz w:val="24"/>
                <w:szCs w:val="24"/>
              </w:rPr>
            </w:pPr>
            <w:r w:rsidRPr="00E806EE">
              <w:rPr>
                <w:rFonts w:cstheme="minorHAnsi"/>
                <w:sz w:val="24"/>
                <w:szCs w:val="24"/>
              </w:rPr>
              <w:t>2018</w:t>
            </w:r>
          </w:p>
        </w:tc>
        <w:tc>
          <w:tcPr>
            <w:tcW w:w="2693" w:type="dxa"/>
          </w:tcPr>
          <w:p w14:paraId="5952E4D4" w14:textId="06CC6DE0" w:rsidR="007C5630" w:rsidRPr="00FC2ED5" w:rsidRDefault="007C5630" w:rsidP="004D3A8D">
            <w:pPr>
              <w:pStyle w:val="Heading2"/>
              <w:spacing w:before="0" w:beforeAutospacing="0" w:after="0" w:afterAutospacing="0"/>
              <w:rPr>
                <w:rFonts w:asciiTheme="minorHAnsi" w:hAnsiTheme="minorHAnsi" w:cstheme="minorHAnsi"/>
                <w:b w:val="0"/>
                <w:bCs w:val="0"/>
                <w:sz w:val="22"/>
                <w:szCs w:val="22"/>
              </w:rPr>
            </w:pPr>
            <w:r w:rsidRPr="00FC2ED5">
              <w:rPr>
                <w:rFonts w:asciiTheme="minorHAnsi" w:hAnsiTheme="minorHAnsi" w:cstheme="minorHAnsi"/>
                <w:b w:val="0"/>
                <w:bCs w:val="0"/>
                <w:sz w:val="22"/>
                <w:szCs w:val="22"/>
              </w:rPr>
              <w:t>Minimum Energy Efficiency Rating (MEES)</w:t>
            </w:r>
          </w:p>
        </w:tc>
        <w:tc>
          <w:tcPr>
            <w:tcW w:w="6379" w:type="dxa"/>
          </w:tcPr>
          <w:p w14:paraId="5C217CBE" w14:textId="66CDCD62" w:rsidR="007C5630" w:rsidRPr="00FC2ED5" w:rsidRDefault="007C5630" w:rsidP="004D3A8D">
            <w:pPr>
              <w:rPr>
                <w:rFonts w:cstheme="minorHAnsi"/>
              </w:rPr>
            </w:pPr>
            <w:r w:rsidRPr="00FC2ED5">
              <w:rPr>
                <w:rFonts w:cstheme="minorHAnsi"/>
              </w:rPr>
              <w:t>Stopped rental of properties with EPC rating less than E (F or G).</w:t>
            </w:r>
          </w:p>
        </w:tc>
      </w:tr>
      <w:tr w:rsidR="007C5630" w:rsidRPr="00FC2ED5" w14:paraId="18BFA1C3" w14:textId="77777777" w:rsidTr="0064631C">
        <w:tc>
          <w:tcPr>
            <w:tcW w:w="970" w:type="dxa"/>
            <w:vMerge/>
          </w:tcPr>
          <w:p w14:paraId="226B2BC2" w14:textId="77777777" w:rsidR="007C5630" w:rsidRPr="00E806EE" w:rsidRDefault="007C5630" w:rsidP="00E806EE">
            <w:pPr>
              <w:jc w:val="center"/>
              <w:rPr>
                <w:rFonts w:cstheme="minorHAnsi"/>
                <w:sz w:val="24"/>
                <w:szCs w:val="24"/>
              </w:rPr>
            </w:pPr>
          </w:p>
        </w:tc>
        <w:tc>
          <w:tcPr>
            <w:tcW w:w="2693" w:type="dxa"/>
          </w:tcPr>
          <w:p w14:paraId="047A7B5C" w14:textId="574E42DA" w:rsidR="007C5630" w:rsidRPr="003A3F35" w:rsidRDefault="007C5630" w:rsidP="004D3A8D">
            <w:pPr>
              <w:pStyle w:val="Heading2"/>
              <w:spacing w:before="0" w:beforeAutospacing="0" w:after="0" w:afterAutospacing="0"/>
              <w:rPr>
                <w:rFonts w:asciiTheme="minorHAnsi" w:hAnsiTheme="minorHAnsi" w:cstheme="minorHAnsi"/>
                <w:b w:val="0"/>
                <w:bCs w:val="0"/>
                <w:sz w:val="20"/>
                <w:szCs w:val="20"/>
              </w:rPr>
            </w:pPr>
            <w:r w:rsidRPr="003A3F35">
              <w:rPr>
                <w:rFonts w:asciiTheme="minorHAnsi" w:hAnsiTheme="minorHAnsi" w:cstheme="minorHAnsi"/>
                <w:b w:val="0"/>
                <w:bCs w:val="0"/>
                <w:sz w:val="20"/>
                <w:szCs w:val="20"/>
              </w:rPr>
              <w:t>Licensing of Houses in Multiple Occupation (Mandatory Conditions of Licences) (England) Regulations 2018</w:t>
            </w:r>
          </w:p>
        </w:tc>
        <w:tc>
          <w:tcPr>
            <w:tcW w:w="6379" w:type="dxa"/>
          </w:tcPr>
          <w:p w14:paraId="4416BF0A" w14:textId="6D72D4C0" w:rsidR="007C5630" w:rsidRDefault="007C5630" w:rsidP="004D3A8D">
            <w:r>
              <w:t>Creates a licensing condition to comply with local authority waste disposal schemes.</w:t>
            </w:r>
          </w:p>
          <w:p w14:paraId="52DFA3D5" w14:textId="77777777" w:rsidR="007C5630" w:rsidRDefault="007C5630" w:rsidP="004D3A8D">
            <w:r>
              <w:t xml:space="preserve">Minimum room sizes for licenced properties. </w:t>
            </w:r>
          </w:p>
          <w:p w14:paraId="69DB2FA4" w14:textId="24E21370" w:rsidR="007C5630" w:rsidRPr="00FC2ED5" w:rsidRDefault="007C5630" w:rsidP="004D3A8D">
            <w:pPr>
              <w:rPr>
                <w:rFonts w:cstheme="minorHAnsi"/>
              </w:rPr>
            </w:pPr>
            <w:r>
              <w:t>Removes three storey requirements for mandatory HMO licensing.</w:t>
            </w:r>
          </w:p>
        </w:tc>
      </w:tr>
      <w:tr w:rsidR="007C5630" w:rsidRPr="00FC2ED5" w14:paraId="4D0651F7" w14:textId="77777777" w:rsidTr="0064631C">
        <w:tc>
          <w:tcPr>
            <w:tcW w:w="970" w:type="dxa"/>
            <w:vMerge/>
          </w:tcPr>
          <w:p w14:paraId="31CD9242" w14:textId="77777777" w:rsidR="007C5630" w:rsidRPr="00E806EE" w:rsidRDefault="007C5630" w:rsidP="00E806EE">
            <w:pPr>
              <w:jc w:val="center"/>
              <w:rPr>
                <w:rFonts w:cstheme="minorHAnsi"/>
                <w:sz w:val="24"/>
                <w:szCs w:val="24"/>
              </w:rPr>
            </w:pPr>
          </w:p>
        </w:tc>
        <w:tc>
          <w:tcPr>
            <w:tcW w:w="2693" w:type="dxa"/>
          </w:tcPr>
          <w:p w14:paraId="3670B96E" w14:textId="3359824A" w:rsidR="007C5630" w:rsidRPr="003A3F35" w:rsidRDefault="007C5630" w:rsidP="004D3A8D">
            <w:pPr>
              <w:pStyle w:val="Heading2"/>
              <w:spacing w:before="0" w:beforeAutospacing="0" w:after="0" w:afterAutospacing="0"/>
              <w:rPr>
                <w:rFonts w:asciiTheme="minorHAnsi" w:hAnsiTheme="minorHAnsi" w:cstheme="minorHAnsi"/>
                <w:b w:val="0"/>
                <w:bCs w:val="0"/>
                <w:sz w:val="20"/>
                <w:szCs w:val="20"/>
              </w:rPr>
            </w:pPr>
            <w:r w:rsidRPr="003A3F35">
              <w:rPr>
                <w:rFonts w:asciiTheme="minorHAnsi" w:hAnsiTheme="minorHAnsi" w:cstheme="minorHAnsi"/>
                <w:b w:val="0"/>
                <w:bCs w:val="0"/>
                <w:sz w:val="20"/>
                <w:szCs w:val="20"/>
              </w:rPr>
              <w:t>Data Protection Act 2018</w:t>
            </w:r>
          </w:p>
        </w:tc>
        <w:tc>
          <w:tcPr>
            <w:tcW w:w="6379" w:type="dxa"/>
          </w:tcPr>
          <w:p w14:paraId="1D86876E" w14:textId="7ED8596A" w:rsidR="007C5630" w:rsidRPr="00FC2ED5" w:rsidRDefault="007C5630" w:rsidP="004D3A8D">
            <w:pPr>
              <w:rPr>
                <w:rFonts w:cstheme="minorHAnsi"/>
              </w:rPr>
            </w:pPr>
            <w:r>
              <w:t xml:space="preserve">Introduces </w:t>
            </w:r>
            <w:proofErr w:type="gramStart"/>
            <w:r>
              <w:t>a number of</w:t>
            </w:r>
            <w:proofErr w:type="gramEnd"/>
            <w:r>
              <w:t xml:space="preserve"> new requirements around data protection.</w:t>
            </w:r>
          </w:p>
        </w:tc>
      </w:tr>
      <w:tr w:rsidR="007C5630" w:rsidRPr="00FC2ED5" w14:paraId="20727867" w14:textId="77777777" w:rsidTr="0064631C">
        <w:tc>
          <w:tcPr>
            <w:tcW w:w="970" w:type="dxa"/>
            <w:vMerge/>
          </w:tcPr>
          <w:p w14:paraId="1393DCC3" w14:textId="77777777" w:rsidR="007C5630" w:rsidRPr="00E806EE" w:rsidRDefault="007C5630" w:rsidP="00E806EE">
            <w:pPr>
              <w:jc w:val="center"/>
              <w:rPr>
                <w:rFonts w:cstheme="minorHAnsi"/>
                <w:sz w:val="24"/>
                <w:szCs w:val="24"/>
              </w:rPr>
            </w:pPr>
          </w:p>
        </w:tc>
        <w:tc>
          <w:tcPr>
            <w:tcW w:w="2693" w:type="dxa"/>
          </w:tcPr>
          <w:p w14:paraId="2A88E821" w14:textId="41DF7C0D" w:rsidR="007C5630" w:rsidRPr="003A3F35" w:rsidRDefault="007C5630" w:rsidP="004D3A8D">
            <w:pPr>
              <w:pStyle w:val="Heading2"/>
              <w:spacing w:before="0" w:beforeAutospacing="0" w:after="0" w:afterAutospacing="0"/>
              <w:rPr>
                <w:rFonts w:asciiTheme="minorHAnsi" w:hAnsiTheme="minorHAnsi" w:cstheme="minorHAnsi"/>
                <w:b w:val="0"/>
                <w:bCs w:val="0"/>
                <w:sz w:val="20"/>
                <w:szCs w:val="20"/>
              </w:rPr>
            </w:pPr>
            <w:r w:rsidRPr="003A3F35">
              <w:rPr>
                <w:rFonts w:asciiTheme="minorHAnsi" w:hAnsiTheme="minorHAnsi" w:cstheme="minorHAnsi"/>
                <w:b w:val="0"/>
                <w:bCs w:val="0"/>
                <w:sz w:val="20"/>
                <w:szCs w:val="20"/>
              </w:rPr>
              <w:t>Homes (Fitness for Human Habitation) Act 2018</w:t>
            </w:r>
          </w:p>
        </w:tc>
        <w:tc>
          <w:tcPr>
            <w:tcW w:w="6379" w:type="dxa"/>
          </w:tcPr>
          <w:p w14:paraId="613DF1CF" w14:textId="46DEAF89" w:rsidR="007C5630" w:rsidRPr="00FC2ED5" w:rsidRDefault="007C5630" w:rsidP="004D3A8D">
            <w:pPr>
              <w:rPr>
                <w:rFonts w:cstheme="minorHAnsi"/>
              </w:rPr>
            </w:pPr>
            <w:r>
              <w:t>Allows tenants to sue landlords regarding property conditions without first seeking assistance from the local authority</w:t>
            </w:r>
          </w:p>
        </w:tc>
      </w:tr>
    </w:tbl>
    <w:p w14:paraId="24360F04" w14:textId="77777777" w:rsidR="00EE5F74" w:rsidRDefault="00EE5F74">
      <w:r>
        <w:br w:type="page"/>
      </w:r>
    </w:p>
    <w:tbl>
      <w:tblPr>
        <w:tblStyle w:val="TableGrid"/>
        <w:tblW w:w="0" w:type="auto"/>
        <w:tblLook w:val="04A0" w:firstRow="1" w:lastRow="0" w:firstColumn="1" w:lastColumn="0" w:noHBand="0" w:noVBand="1"/>
      </w:tblPr>
      <w:tblGrid>
        <w:gridCol w:w="970"/>
        <w:gridCol w:w="2693"/>
        <w:gridCol w:w="6379"/>
      </w:tblGrid>
      <w:tr w:rsidR="007C5630" w:rsidRPr="00FC2ED5" w14:paraId="69F609BF" w14:textId="77777777" w:rsidTr="0064631C">
        <w:tc>
          <w:tcPr>
            <w:tcW w:w="970" w:type="dxa"/>
          </w:tcPr>
          <w:p w14:paraId="485EE3FB" w14:textId="6D27A01B" w:rsidR="007C5630" w:rsidRPr="00E806EE" w:rsidRDefault="007C5630" w:rsidP="00E806EE">
            <w:pPr>
              <w:jc w:val="center"/>
              <w:rPr>
                <w:rFonts w:cstheme="minorHAnsi"/>
                <w:sz w:val="24"/>
                <w:szCs w:val="24"/>
              </w:rPr>
            </w:pPr>
            <w:r w:rsidRPr="00E806EE">
              <w:rPr>
                <w:rFonts w:cstheme="minorHAnsi"/>
                <w:sz w:val="24"/>
                <w:szCs w:val="24"/>
              </w:rPr>
              <w:lastRenderedPageBreak/>
              <w:t>2019</w:t>
            </w:r>
          </w:p>
        </w:tc>
        <w:tc>
          <w:tcPr>
            <w:tcW w:w="2693" w:type="dxa"/>
          </w:tcPr>
          <w:p w14:paraId="7B5CFE5B" w14:textId="35C5FCFD" w:rsidR="007C5630" w:rsidRPr="00ED5E15" w:rsidRDefault="007C5630" w:rsidP="004D3A8D">
            <w:pPr>
              <w:pStyle w:val="Heading2"/>
              <w:spacing w:before="0" w:beforeAutospacing="0" w:after="0" w:afterAutospacing="0"/>
              <w:rPr>
                <w:rFonts w:asciiTheme="minorHAnsi" w:hAnsiTheme="minorHAnsi" w:cstheme="minorHAnsi"/>
                <w:b w:val="0"/>
                <w:bCs w:val="0"/>
                <w:sz w:val="22"/>
                <w:szCs w:val="22"/>
              </w:rPr>
            </w:pPr>
            <w:r w:rsidRPr="00ED5E15">
              <w:rPr>
                <w:rFonts w:asciiTheme="minorHAnsi" w:hAnsiTheme="minorHAnsi" w:cstheme="minorHAnsi"/>
                <w:b w:val="0"/>
                <w:bCs w:val="0"/>
                <w:sz w:val="22"/>
                <w:szCs w:val="22"/>
              </w:rPr>
              <w:t>Tenant Fees Act 2019</w:t>
            </w:r>
          </w:p>
        </w:tc>
        <w:tc>
          <w:tcPr>
            <w:tcW w:w="6379" w:type="dxa"/>
          </w:tcPr>
          <w:p w14:paraId="3996D1A9" w14:textId="60C99D3F" w:rsidR="007C5630" w:rsidRPr="00ED5E15" w:rsidRDefault="007C5630" w:rsidP="004D3A8D">
            <w:pPr>
              <w:rPr>
                <w:rFonts w:cstheme="minorHAnsi"/>
              </w:rPr>
            </w:pPr>
            <w:r w:rsidRPr="00ED5E15">
              <w:rPr>
                <w:rFonts w:cstheme="minorHAnsi"/>
              </w:rPr>
              <w:t>Banned most letting fees paid by tenants in the private rented sector in England.</w:t>
            </w:r>
          </w:p>
        </w:tc>
      </w:tr>
      <w:tr w:rsidR="00EE5F74" w:rsidRPr="00FC2ED5" w14:paraId="18D71E6A" w14:textId="77777777" w:rsidTr="0064631C">
        <w:tc>
          <w:tcPr>
            <w:tcW w:w="970" w:type="dxa"/>
            <w:vMerge w:val="restart"/>
          </w:tcPr>
          <w:p w14:paraId="25268861" w14:textId="5BD7DC4E" w:rsidR="00EE5F74" w:rsidRPr="00E806EE" w:rsidRDefault="00EE5F74" w:rsidP="00E806EE">
            <w:pPr>
              <w:jc w:val="center"/>
              <w:rPr>
                <w:rFonts w:cstheme="minorHAnsi"/>
                <w:sz w:val="24"/>
                <w:szCs w:val="24"/>
              </w:rPr>
            </w:pPr>
            <w:r w:rsidRPr="00E806EE">
              <w:rPr>
                <w:rFonts w:cstheme="minorHAnsi"/>
                <w:sz w:val="24"/>
                <w:szCs w:val="24"/>
              </w:rPr>
              <w:t>2020</w:t>
            </w:r>
          </w:p>
        </w:tc>
        <w:tc>
          <w:tcPr>
            <w:tcW w:w="2693" w:type="dxa"/>
          </w:tcPr>
          <w:p w14:paraId="524AB5F2" w14:textId="48E913E3" w:rsidR="00EE5F74" w:rsidRPr="00ED5E15" w:rsidRDefault="00EE5F74" w:rsidP="004D3A8D">
            <w:pPr>
              <w:pStyle w:val="Heading2"/>
              <w:spacing w:before="0" w:beforeAutospacing="0" w:after="0" w:afterAutospacing="0"/>
              <w:rPr>
                <w:rFonts w:asciiTheme="minorHAnsi" w:hAnsiTheme="minorHAnsi" w:cstheme="minorHAnsi"/>
                <w:b w:val="0"/>
                <w:bCs w:val="0"/>
                <w:sz w:val="22"/>
                <w:szCs w:val="22"/>
              </w:rPr>
            </w:pPr>
            <w:r w:rsidRPr="00ED5E15">
              <w:rPr>
                <w:rFonts w:asciiTheme="minorHAnsi" w:hAnsiTheme="minorHAnsi" w:cstheme="minorHAnsi"/>
                <w:b w:val="0"/>
                <w:bCs w:val="0"/>
                <w:color w:val="393939"/>
                <w:sz w:val="22"/>
                <w:szCs w:val="22"/>
                <w:shd w:val="clear" w:color="auto" w:fill="FFFFFF"/>
              </w:rPr>
              <w:t>Breathing Space Regulations</w:t>
            </w:r>
          </w:p>
        </w:tc>
        <w:tc>
          <w:tcPr>
            <w:tcW w:w="6379" w:type="dxa"/>
          </w:tcPr>
          <w:p w14:paraId="1732F469" w14:textId="2B4F37E9" w:rsidR="00EE5F74" w:rsidRPr="001944ED" w:rsidRDefault="00EE5F74" w:rsidP="004D3A8D">
            <w:pPr>
              <w:pStyle w:val="NormalWeb"/>
              <w:shd w:val="clear" w:color="auto" w:fill="FFFFFF"/>
              <w:spacing w:before="0" w:beforeAutospacing="0" w:after="0" w:afterAutospacing="0"/>
              <w:rPr>
                <w:rFonts w:asciiTheme="minorHAnsi" w:hAnsiTheme="minorHAnsi" w:cstheme="minorHAnsi"/>
                <w:color w:val="393939"/>
                <w:sz w:val="22"/>
                <w:szCs w:val="22"/>
              </w:rPr>
            </w:pPr>
            <w:r w:rsidRPr="001944ED">
              <w:rPr>
                <w:rFonts w:asciiTheme="minorHAnsi" w:hAnsiTheme="minorHAnsi" w:cstheme="minorHAnsi"/>
                <w:color w:val="393939"/>
                <w:sz w:val="22"/>
                <w:szCs w:val="22"/>
              </w:rPr>
              <w:t>Provide eligible individual debtors with problem debt a period of protection from their creditors known as a “breathing space moratorium”. The aim is to give people the time to access professional debt advice, without the stress caused by spiralling debt and impending enforcement action. However, payment of all “ongoing liabilities” must continue during this time.</w:t>
            </w:r>
          </w:p>
        </w:tc>
      </w:tr>
      <w:tr w:rsidR="00EE5F74" w:rsidRPr="00FC2ED5" w14:paraId="3094F89B" w14:textId="77777777" w:rsidTr="0064631C">
        <w:tc>
          <w:tcPr>
            <w:tcW w:w="970" w:type="dxa"/>
            <w:vMerge/>
          </w:tcPr>
          <w:p w14:paraId="53229E17" w14:textId="76B54345" w:rsidR="00EE5F74" w:rsidRPr="00E806EE" w:rsidRDefault="00EE5F74" w:rsidP="00E806EE">
            <w:pPr>
              <w:jc w:val="center"/>
              <w:rPr>
                <w:rFonts w:cstheme="minorHAnsi"/>
                <w:sz w:val="24"/>
                <w:szCs w:val="24"/>
              </w:rPr>
            </w:pPr>
          </w:p>
        </w:tc>
        <w:tc>
          <w:tcPr>
            <w:tcW w:w="2693" w:type="dxa"/>
          </w:tcPr>
          <w:p w14:paraId="7217BE41" w14:textId="394253BD" w:rsidR="00EE5F74" w:rsidRPr="001944ED" w:rsidRDefault="00EE5F74" w:rsidP="004D3A8D">
            <w:pPr>
              <w:pStyle w:val="Heading2"/>
              <w:spacing w:before="0" w:beforeAutospacing="0" w:after="0" w:afterAutospacing="0"/>
              <w:rPr>
                <w:rFonts w:asciiTheme="minorHAnsi" w:hAnsiTheme="minorHAnsi" w:cstheme="minorHAnsi"/>
                <w:b w:val="0"/>
                <w:bCs w:val="0"/>
                <w:color w:val="393939"/>
                <w:sz w:val="20"/>
                <w:szCs w:val="20"/>
                <w:shd w:val="clear" w:color="auto" w:fill="FFFFFF"/>
              </w:rPr>
            </w:pPr>
            <w:r w:rsidRPr="001944ED">
              <w:rPr>
                <w:rFonts w:asciiTheme="minorHAnsi" w:hAnsiTheme="minorHAnsi" w:cstheme="minorHAnsi"/>
                <w:b w:val="0"/>
                <w:bCs w:val="0"/>
                <w:sz w:val="20"/>
                <w:szCs w:val="20"/>
              </w:rPr>
              <w:t>The Heat Network (Metering and Billing) (Amendment) Regulations 2020</w:t>
            </w:r>
          </w:p>
        </w:tc>
        <w:tc>
          <w:tcPr>
            <w:tcW w:w="6379" w:type="dxa"/>
          </w:tcPr>
          <w:p w14:paraId="13EAC504" w14:textId="10AD7DAA" w:rsidR="00EE5F74" w:rsidRPr="001944ED" w:rsidRDefault="00EE5F74" w:rsidP="004D3A8D">
            <w:pPr>
              <w:pStyle w:val="NormalWeb"/>
              <w:shd w:val="clear" w:color="auto" w:fill="FFFFFF"/>
              <w:spacing w:before="0" w:beforeAutospacing="0" w:after="0" w:afterAutospacing="0"/>
              <w:rPr>
                <w:rFonts w:asciiTheme="minorHAnsi" w:hAnsiTheme="minorHAnsi" w:cstheme="minorHAnsi"/>
                <w:color w:val="393939"/>
                <w:sz w:val="22"/>
                <w:szCs w:val="22"/>
              </w:rPr>
            </w:pPr>
            <w:r w:rsidRPr="001944ED">
              <w:rPr>
                <w:rFonts w:asciiTheme="minorHAnsi" w:hAnsiTheme="minorHAnsi" w:cstheme="minorHAnsi"/>
                <w:sz w:val="22"/>
                <w:szCs w:val="22"/>
              </w:rPr>
              <w:t>Obliges landlords with heat networks to perform a cost assessment and install meters or heat cost allocators by 1 September 2022 if it is cost effective to do so.</w:t>
            </w:r>
          </w:p>
        </w:tc>
      </w:tr>
      <w:tr w:rsidR="007C5630" w:rsidRPr="001944ED" w14:paraId="45693B53" w14:textId="77777777" w:rsidTr="0064631C">
        <w:tc>
          <w:tcPr>
            <w:tcW w:w="970" w:type="dxa"/>
            <w:vMerge w:val="restart"/>
          </w:tcPr>
          <w:p w14:paraId="0FAA32F2" w14:textId="170A04C9" w:rsidR="007C5630" w:rsidRPr="00E806EE" w:rsidRDefault="007C5630" w:rsidP="00E806EE">
            <w:pPr>
              <w:jc w:val="center"/>
              <w:rPr>
                <w:rFonts w:cstheme="minorHAnsi"/>
                <w:sz w:val="24"/>
                <w:szCs w:val="24"/>
              </w:rPr>
            </w:pPr>
            <w:r w:rsidRPr="00E806EE">
              <w:rPr>
                <w:rFonts w:cstheme="minorHAnsi"/>
                <w:sz w:val="24"/>
                <w:szCs w:val="24"/>
              </w:rPr>
              <w:t>2021</w:t>
            </w:r>
          </w:p>
        </w:tc>
        <w:tc>
          <w:tcPr>
            <w:tcW w:w="2693" w:type="dxa"/>
          </w:tcPr>
          <w:p w14:paraId="0F7119E6" w14:textId="57438562" w:rsidR="007C5630" w:rsidRPr="001944ED" w:rsidRDefault="007C5630" w:rsidP="004D3A8D">
            <w:pPr>
              <w:pStyle w:val="Heading2"/>
              <w:spacing w:before="0" w:beforeAutospacing="0" w:after="0" w:afterAutospacing="0"/>
              <w:rPr>
                <w:rFonts w:asciiTheme="minorHAnsi" w:hAnsiTheme="minorHAnsi" w:cstheme="minorHAnsi"/>
                <w:b w:val="0"/>
                <w:bCs w:val="0"/>
                <w:color w:val="393939"/>
                <w:sz w:val="20"/>
                <w:szCs w:val="20"/>
                <w:shd w:val="clear" w:color="auto" w:fill="FFFFFF"/>
              </w:rPr>
            </w:pPr>
            <w:r w:rsidRPr="001944ED">
              <w:rPr>
                <w:rFonts w:asciiTheme="minorHAnsi" w:hAnsiTheme="minorHAnsi" w:cstheme="minorHAnsi"/>
                <w:b w:val="0"/>
                <w:bCs w:val="0"/>
                <w:sz w:val="20"/>
                <w:szCs w:val="20"/>
              </w:rPr>
              <w:t>The Assured Tenancies and Agricultural Occupancies (Forms) (England) (Amendment) and Suspension (Coronavirus) Regulations 2021</w:t>
            </w:r>
          </w:p>
        </w:tc>
        <w:tc>
          <w:tcPr>
            <w:tcW w:w="6379" w:type="dxa"/>
          </w:tcPr>
          <w:p w14:paraId="00FB57F0" w14:textId="2B3BD184" w:rsidR="007C5630" w:rsidRPr="001944ED" w:rsidRDefault="007C5630" w:rsidP="004D3A8D">
            <w:pPr>
              <w:pStyle w:val="NormalWeb"/>
              <w:shd w:val="clear" w:color="auto" w:fill="FFFFFF"/>
              <w:spacing w:before="0" w:beforeAutospacing="0" w:after="0" w:afterAutospacing="0"/>
              <w:rPr>
                <w:rFonts w:asciiTheme="minorHAnsi" w:hAnsiTheme="minorHAnsi" w:cstheme="minorHAnsi"/>
                <w:color w:val="393939"/>
                <w:sz w:val="22"/>
                <w:szCs w:val="22"/>
              </w:rPr>
            </w:pPr>
            <w:r w:rsidRPr="001944ED">
              <w:rPr>
                <w:rFonts w:asciiTheme="minorHAnsi" w:hAnsiTheme="minorHAnsi" w:cstheme="minorHAnsi"/>
                <w:color w:val="393939"/>
                <w:sz w:val="22"/>
                <w:szCs w:val="22"/>
              </w:rPr>
              <w:t>Updated the Section 8 and Section 21 forms</w:t>
            </w:r>
          </w:p>
        </w:tc>
      </w:tr>
      <w:tr w:rsidR="007C5630" w:rsidRPr="001944ED" w14:paraId="65BFFF84" w14:textId="77777777" w:rsidTr="0064631C">
        <w:tc>
          <w:tcPr>
            <w:tcW w:w="970" w:type="dxa"/>
            <w:vMerge/>
          </w:tcPr>
          <w:p w14:paraId="75EEC4D5" w14:textId="77777777" w:rsidR="007C5630" w:rsidRPr="00E806EE" w:rsidRDefault="007C5630" w:rsidP="00E806EE">
            <w:pPr>
              <w:jc w:val="center"/>
              <w:rPr>
                <w:rFonts w:cstheme="minorHAnsi"/>
                <w:sz w:val="24"/>
                <w:szCs w:val="24"/>
              </w:rPr>
            </w:pPr>
          </w:p>
        </w:tc>
        <w:tc>
          <w:tcPr>
            <w:tcW w:w="2693" w:type="dxa"/>
          </w:tcPr>
          <w:p w14:paraId="64022952" w14:textId="363C2261" w:rsidR="007C5630" w:rsidRPr="001944ED" w:rsidRDefault="007C5630" w:rsidP="004D3A8D">
            <w:pPr>
              <w:pStyle w:val="Heading2"/>
              <w:spacing w:before="0" w:beforeAutospacing="0" w:after="0" w:afterAutospacing="0"/>
              <w:rPr>
                <w:rFonts w:asciiTheme="minorHAnsi" w:hAnsiTheme="minorHAnsi" w:cstheme="minorHAnsi"/>
                <w:b w:val="0"/>
                <w:bCs w:val="0"/>
                <w:color w:val="393939"/>
                <w:sz w:val="20"/>
                <w:szCs w:val="20"/>
                <w:shd w:val="clear" w:color="auto" w:fill="FFFFFF"/>
              </w:rPr>
            </w:pPr>
            <w:r w:rsidRPr="001944ED">
              <w:rPr>
                <w:rFonts w:asciiTheme="minorHAnsi" w:hAnsiTheme="minorHAnsi" w:cstheme="minorHAnsi"/>
                <w:b w:val="0"/>
                <w:bCs w:val="0"/>
                <w:sz w:val="20"/>
                <w:szCs w:val="20"/>
              </w:rPr>
              <w:t>Telecommunications Infrastructure (Leasehold Property) Act 2021</w:t>
            </w:r>
          </w:p>
        </w:tc>
        <w:tc>
          <w:tcPr>
            <w:tcW w:w="6379" w:type="dxa"/>
          </w:tcPr>
          <w:p w14:paraId="41F81810" w14:textId="20F79FE0" w:rsidR="007C5630" w:rsidRPr="001944ED" w:rsidRDefault="007C5630" w:rsidP="004D3A8D">
            <w:pPr>
              <w:pStyle w:val="NormalWeb"/>
              <w:shd w:val="clear" w:color="auto" w:fill="FFFFFF"/>
              <w:spacing w:before="0" w:beforeAutospacing="0" w:after="0" w:afterAutospacing="0"/>
              <w:rPr>
                <w:rFonts w:asciiTheme="minorHAnsi" w:hAnsiTheme="minorHAnsi" w:cstheme="minorHAnsi"/>
                <w:color w:val="393939"/>
                <w:sz w:val="22"/>
                <w:szCs w:val="22"/>
              </w:rPr>
            </w:pPr>
            <w:r w:rsidRPr="001944ED">
              <w:rPr>
                <w:rFonts w:asciiTheme="minorHAnsi" w:hAnsiTheme="minorHAnsi" w:cstheme="minorHAnsi"/>
                <w:sz w:val="22"/>
                <w:szCs w:val="22"/>
              </w:rPr>
              <w:t>Obliges landlords of multi-occupied dwellings to respond to access requests from telecommunications installers.</w:t>
            </w:r>
          </w:p>
        </w:tc>
      </w:tr>
      <w:tr w:rsidR="007C5630" w:rsidRPr="001944ED" w14:paraId="5A57A71F" w14:textId="77777777" w:rsidTr="0064631C">
        <w:tc>
          <w:tcPr>
            <w:tcW w:w="970" w:type="dxa"/>
            <w:vMerge/>
          </w:tcPr>
          <w:p w14:paraId="4C826B28" w14:textId="77777777" w:rsidR="007C5630" w:rsidRPr="00E806EE" w:rsidRDefault="007C5630" w:rsidP="00E806EE">
            <w:pPr>
              <w:jc w:val="center"/>
              <w:rPr>
                <w:rFonts w:cstheme="minorHAnsi"/>
                <w:sz w:val="24"/>
                <w:szCs w:val="24"/>
              </w:rPr>
            </w:pPr>
          </w:p>
        </w:tc>
        <w:tc>
          <w:tcPr>
            <w:tcW w:w="2693" w:type="dxa"/>
          </w:tcPr>
          <w:p w14:paraId="4255BBB7" w14:textId="2E510888" w:rsidR="007C5630" w:rsidRPr="001944ED" w:rsidRDefault="007C5630" w:rsidP="004D3A8D">
            <w:pPr>
              <w:pStyle w:val="Heading2"/>
              <w:spacing w:before="0" w:beforeAutospacing="0" w:after="0" w:afterAutospacing="0"/>
              <w:rPr>
                <w:rFonts w:asciiTheme="minorHAnsi" w:hAnsiTheme="minorHAnsi" w:cstheme="minorHAnsi"/>
                <w:b w:val="0"/>
                <w:bCs w:val="0"/>
                <w:sz w:val="20"/>
                <w:szCs w:val="20"/>
              </w:rPr>
            </w:pPr>
            <w:r w:rsidRPr="001944ED">
              <w:rPr>
                <w:rFonts w:asciiTheme="minorHAnsi" w:hAnsiTheme="minorHAnsi" w:cstheme="minorHAnsi"/>
                <w:b w:val="0"/>
                <w:bCs w:val="0"/>
                <w:sz w:val="20"/>
                <w:szCs w:val="20"/>
              </w:rPr>
              <w:t>Fire Safety Act 2021</w:t>
            </w:r>
          </w:p>
        </w:tc>
        <w:tc>
          <w:tcPr>
            <w:tcW w:w="6379" w:type="dxa"/>
          </w:tcPr>
          <w:p w14:paraId="6E0F41AE" w14:textId="54D44AAB" w:rsidR="007C5630" w:rsidRPr="001944ED" w:rsidRDefault="007C5630" w:rsidP="004D3A8D">
            <w:pPr>
              <w:pStyle w:val="NormalWeb"/>
              <w:shd w:val="clear" w:color="auto" w:fill="FFFFFF"/>
              <w:spacing w:before="0" w:beforeAutospacing="0" w:after="0" w:afterAutospacing="0"/>
              <w:rPr>
                <w:rFonts w:asciiTheme="minorHAnsi" w:hAnsiTheme="minorHAnsi" w:cstheme="minorHAnsi"/>
                <w:sz w:val="22"/>
                <w:szCs w:val="22"/>
              </w:rPr>
            </w:pPr>
            <w:r w:rsidRPr="001944ED">
              <w:rPr>
                <w:rFonts w:asciiTheme="minorHAnsi" w:hAnsiTheme="minorHAnsi" w:cstheme="minorHAnsi"/>
                <w:sz w:val="22"/>
                <w:szCs w:val="22"/>
              </w:rPr>
              <w:t>Sets out requirements for duty holders/owners for multi-occupied residential buildings.</w:t>
            </w:r>
          </w:p>
        </w:tc>
      </w:tr>
      <w:tr w:rsidR="007C5630" w:rsidRPr="001944ED" w14:paraId="5EBC7496" w14:textId="77777777" w:rsidTr="0064631C">
        <w:tc>
          <w:tcPr>
            <w:tcW w:w="970" w:type="dxa"/>
            <w:vMerge/>
          </w:tcPr>
          <w:p w14:paraId="72CB46E8" w14:textId="77777777" w:rsidR="007C5630" w:rsidRPr="00E806EE" w:rsidRDefault="007C5630" w:rsidP="00E806EE">
            <w:pPr>
              <w:jc w:val="center"/>
              <w:rPr>
                <w:rFonts w:cstheme="minorHAnsi"/>
                <w:sz w:val="24"/>
                <w:szCs w:val="24"/>
              </w:rPr>
            </w:pPr>
          </w:p>
        </w:tc>
        <w:tc>
          <w:tcPr>
            <w:tcW w:w="2693" w:type="dxa"/>
          </w:tcPr>
          <w:p w14:paraId="7B6C3A6C" w14:textId="7093C35A" w:rsidR="007C5630" w:rsidRPr="001944ED" w:rsidRDefault="007C5630" w:rsidP="004D3A8D">
            <w:pPr>
              <w:pStyle w:val="Heading2"/>
              <w:spacing w:before="0" w:beforeAutospacing="0" w:after="0" w:afterAutospacing="0"/>
              <w:rPr>
                <w:rFonts w:asciiTheme="minorHAnsi" w:hAnsiTheme="minorHAnsi" w:cstheme="minorHAnsi"/>
                <w:b w:val="0"/>
                <w:bCs w:val="0"/>
                <w:sz w:val="20"/>
                <w:szCs w:val="20"/>
              </w:rPr>
            </w:pPr>
            <w:r w:rsidRPr="001944ED">
              <w:rPr>
                <w:rFonts w:asciiTheme="minorHAnsi" w:hAnsiTheme="minorHAnsi" w:cstheme="minorHAnsi"/>
                <w:b w:val="0"/>
                <w:bCs w:val="0"/>
                <w:sz w:val="20"/>
                <w:szCs w:val="20"/>
              </w:rPr>
              <w:t>The Town and Country Planning (General Permitted Development etc.) (England) (Amendment) Order 2021</w:t>
            </w:r>
          </w:p>
        </w:tc>
        <w:tc>
          <w:tcPr>
            <w:tcW w:w="6379" w:type="dxa"/>
          </w:tcPr>
          <w:p w14:paraId="020A4317" w14:textId="6A54E955" w:rsidR="007C5630" w:rsidRPr="001944ED" w:rsidRDefault="007C5630" w:rsidP="004D3A8D">
            <w:pPr>
              <w:pStyle w:val="NormalWeb"/>
              <w:shd w:val="clear" w:color="auto" w:fill="FFFFFF"/>
              <w:spacing w:before="0" w:beforeAutospacing="0" w:after="0" w:afterAutospacing="0"/>
              <w:rPr>
                <w:rFonts w:asciiTheme="minorHAnsi" w:hAnsiTheme="minorHAnsi" w:cstheme="minorHAnsi"/>
                <w:sz w:val="22"/>
                <w:szCs w:val="22"/>
              </w:rPr>
            </w:pPr>
            <w:r w:rsidRPr="001944ED">
              <w:rPr>
                <w:rFonts w:asciiTheme="minorHAnsi" w:hAnsiTheme="minorHAnsi" w:cstheme="minorHAnsi"/>
                <w:sz w:val="22"/>
                <w:szCs w:val="22"/>
              </w:rPr>
              <w:t>Creates new permitted development rights for properties that were previously in commercial use</w:t>
            </w:r>
          </w:p>
        </w:tc>
      </w:tr>
      <w:tr w:rsidR="007C5630" w:rsidRPr="001944ED" w14:paraId="44E147DE" w14:textId="77777777" w:rsidTr="0064631C">
        <w:tc>
          <w:tcPr>
            <w:tcW w:w="970" w:type="dxa"/>
            <w:vMerge/>
          </w:tcPr>
          <w:p w14:paraId="56B13047" w14:textId="77777777" w:rsidR="007C5630" w:rsidRPr="00E806EE" w:rsidRDefault="007C5630" w:rsidP="00E806EE">
            <w:pPr>
              <w:jc w:val="center"/>
              <w:rPr>
                <w:rFonts w:cstheme="minorHAnsi"/>
                <w:sz w:val="24"/>
                <w:szCs w:val="24"/>
              </w:rPr>
            </w:pPr>
          </w:p>
        </w:tc>
        <w:tc>
          <w:tcPr>
            <w:tcW w:w="2693" w:type="dxa"/>
          </w:tcPr>
          <w:p w14:paraId="6695EE74" w14:textId="56535601" w:rsidR="007C5630" w:rsidRPr="001944ED" w:rsidRDefault="007C5630" w:rsidP="004D3A8D">
            <w:pPr>
              <w:pStyle w:val="Heading2"/>
              <w:spacing w:before="0" w:beforeAutospacing="0" w:after="0" w:afterAutospacing="0"/>
              <w:rPr>
                <w:rFonts w:asciiTheme="minorHAnsi" w:hAnsiTheme="minorHAnsi" w:cstheme="minorHAnsi"/>
                <w:b w:val="0"/>
                <w:bCs w:val="0"/>
                <w:sz w:val="20"/>
                <w:szCs w:val="20"/>
              </w:rPr>
            </w:pPr>
            <w:r w:rsidRPr="001944ED">
              <w:rPr>
                <w:rFonts w:asciiTheme="minorHAnsi" w:hAnsiTheme="minorHAnsi" w:cstheme="minorHAnsi"/>
                <w:b w:val="0"/>
                <w:bCs w:val="0"/>
                <w:sz w:val="20"/>
                <w:szCs w:val="20"/>
              </w:rPr>
              <w:t>The Electrical Safety Standards in the Private Rented Sector (England) Regulations 2020</w:t>
            </w:r>
          </w:p>
        </w:tc>
        <w:tc>
          <w:tcPr>
            <w:tcW w:w="6379" w:type="dxa"/>
          </w:tcPr>
          <w:p w14:paraId="20E9D01A" w14:textId="08682653" w:rsidR="007C5630" w:rsidRPr="001944ED" w:rsidRDefault="007C5630" w:rsidP="004D3A8D">
            <w:pPr>
              <w:pStyle w:val="NormalWeb"/>
              <w:shd w:val="clear" w:color="auto" w:fill="FFFFFF"/>
              <w:spacing w:before="0" w:beforeAutospacing="0" w:after="0" w:afterAutospacing="0"/>
              <w:rPr>
                <w:rFonts w:asciiTheme="minorHAnsi" w:hAnsiTheme="minorHAnsi" w:cstheme="minorHAnsi"/>
                <w:sz w:val="22"/>
                <w:szCs w:val="22"/>
              </w:rPr>
            </w:pPr>
            <w:r w:rsidRPr="001944ED">
              <w:rPr>
                <w:rFonts w:asciiTheme="minorHAnsi" w:hAnsiTheme="minorHAnsi" w:cstheme="minorHAnsi"/>
                <w:sz w:val="22"/>
                <w:szCs w:val="22"/>
              </w:rPr>
              <w:t>Makes electrical safety checks mandatory for all PRS properties.</w:t>
            </w:r>
          </w:p>
        </w:tc>
      </w:tr>
    </w:tbl>
    <w:p w14:paraId="766BEBB9" w14:textId="77777777" w:rsidR="00CC393D" w:rsidRPr="001944ED" w:rsidRDefault="00CC393D" w:rsidP="004D3A8D">
      <w:pPr>
        <w:spacing w:after="0" w:line="240" w:lineRule="auto"/>
        <w:rPr>
          <w:rFonts w:cstheme="minorHAnsi"/>
        </w:rPr>
      </w:pPr>
    </w:p>
    <w:p w14:paraId="19139D12" w14:textId="55A9CD62" w:rsidR="0078415C" w:rsidRPr="001944ED" w:rsidRDefault="0078415C" w:rsidP="004D3A8D">
      <w:pPr>
        <w:spacing w:after="0" w:line="240" w:lineRule="auto"/>
        <w:rPr>
          <w:rFonts w:cstheme="minorHAnsi"/>
        </w:rPr>
      </w:pPr>
      <w:r w:rsidRPr="001944ED">
        <w:rPr>
          <w:rFonts w:cstheme="minorHAnsi"/>
        </w:rPr>
        <w:t>Note that some of this legislation has been amended/</w:t>
      </w:r>
      <w:r w:rsidR="001944ED" w:rsidRPr="001944ED">
        <w:rPr>
          <w:rFonts w:cstheme="minorHAnsi"/>
        </w:rPr>
        <w:t>superseded</w:t>
      </w:r>
      <w:r w:rsidRPr="001944ED">
        <w:rPr>
          <w:rFonts w:cstheme="minorHAnsi"/>
        </w:rPr>
        <w:t>.</w:t>
      </w:r>
    </w:p>
    <w:sectPr w:rsidR="0078415C" w:rsidRPr="001944ED" w:rsidSect="00D95532">
      <w:headerReference w:type="default" r:id="rId8"/>
      <w:footerReference w:type="default" r:id="rId9"/>
      <w:pgSz w:w="11906" w:h="16838"/>
      <w:pgMar w:top="567" w:right="424" w:bottom="1134" w:left="709"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76B9D" w14:textId="77777777" w:rsidR="00D95532" w:rsidRDefault="00D95532" w:rsidP="004D3050">
      <w:pPr>
        <w:spacing w:after="0" w:line="240" w:lineRule="auto"/>
      </w:pPr>
      <w:r>
        <w:separator/>
      </w:r>
    </w:p>
  </w:endnote>
  <w:endnote w:type="continuationSeparator" w:id="0">
    <w:p w14:paraId="3DEAE2B0" w14:textId="77777777" w:rsidR="00D95532" w:rsidRDefault="00D95532" w:rsidP="004D3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D573" w14:textId="77777777" w:rsidR="00916B14" w:rsidRDefault="00916B14" w:rsidP="00780B98">
    <w:pPr>
      <w:spacing w:after="0" w:line="240" w:lineRule="auto"/>
      <w:jc w:val="center"/>
      <w:rPr>
        <w:rStyle w:val="Strong"/>
        <w:rFonts w:ascii="Calibri" w:hAnsi="Calibri" w:cs="Arial"/>
        <w:b w:val="0"/>
        <w:sz w:val="12"/>
        <w:szCs w:val="12"/>
        <w:shd w:val="clear" w:color="auto" w:fill="FFFFFF"/>
      </w:rPr>
    </w:pPr>
    <w:r w:rsidRPr="004D5AE6">
      <w:rPr>
        <w:rFonts w:ascii="Calibri" w:hAnsi="Calibri" w:cs="Arial"/>
        <w:sz w:val="12"/>
        <w:szCs w:val="12"/>
      </w:rPr>
      <w:t xml:space="preserve">Registered </w:t>
    </w:r>
    <w:proofErr w:type="gramStart"/>
    <w:r w:rsidRPr="004D5AE6">
      <w:rPr>
        <w:rFonts w:ascii="Calibri" w:hAnsi="Calibri" w:cs="Arial"/>
        <w:sz w:val="12"/>
        <w:szCs w:val="12"/>
      </w:rPr>
      <w:t>office:-</w:t>
    </w:r>
    <w:proofErr w:type="gramEnd"/>
    <w:r w:rsidRPr="004D5AE6">
      <w:rPr>
        <w:rFonts w:ascii="Calibri" w:hAnsi="Calibri" w:cs="Arial"/>
        <w:sz w:val="12"/>
        <w:szCs w:val="12"/>
      </w:rPr>
      <w:t xml:space="preserve"> </w:t>
    </w:r>
    <w:r>
      <w:rPr>
        <w:rFonts w:ascii="Calibri" w:hAnsi="Calibri" w:cs="Arial"/>
        <w:sz w:val="12"/>
        <w:szCs w:val="12"/>
      </w:rPr>
      <w:t>iHowz</w:t>
    </w:r>
    <w:r w:rsidRPr="004D5AE6">
      <w:rPr>
        <w:rFonts w:ascii="Calibri" w:hAnsi="Calibri" w:cs="Arial"/>
        <w:sz w:val="12"/>
        <w:szCs w:val="12"/>
      </w:rPr>
      <w:t xml:space="preserve">, </w:t>
    </w:r>
    <w:r w:rsidRPr="004D5AE6">
      <w:rPr>
        <w:rFonts w:ascii="Calibri" w:hAnsi="Calibri"/>
        <w:bCs/>
        <w:sz w:val="12"/>
        <w:szCs w:val="12"/>
      </w:rPr>
      <w:t xml:space="preserve">Riverside Centre, River Lawn Road, Tonbridge, TN9 1EP </w:t>
    </w:r>
    <w:r w:rsidRPr="004D5AE6">
      <w:rPr>
        <w:rFonts w:ascii="Calibri" w:hAnsi="Calibri"/>
        <w:sz w:val="12"/>
        <w:szCs w:val="12"/>
      </w:rPr>
      <w:t xml:space="preserve">- </w:t>
    </w:r>
    <w:r w:rsidRPr="004D5AE6">
      <w:rPr>
        <w:rStyle w:val="Strong"/>
        <w:rFonts w:ascii="Calibri" w:hAnsi="Calibri" w:cs="Arial"/>
        <w:sz w:val="12"/>
        <w:szCs w:val="12"/>
        <w:shd w:val="clear" w:color="auto" w:fill="FFFFFF"/>
      </w:rPr>
      <w:t>Company No. 06935628</w:t>
    </w:r>
  </w:p>
  <w:p w14:paraId="0A316B88" w14:textId="77777777" w:rsidR="00916B14" w:rsidRDefault="00916B14" w:rsidP="00780B98">
    <w:pPr>
      <w:tabs>
        <w:tab w:val="left" w:pos="3480"/>
        <w:tab w:val="center" w:pos="5174"/>
      </w:tabs>
      <w:spacing w:after="0" w:line="240" w:lineRule="auto"/>
    </w:pPr>
    <w:r>
      <w:rPr>
        <w:sz w:val="12"/>
        <w:szCs w:val="12"/>
      </w:rPr>
      <w:tab/>
    </w:r>
    <w:r>
      <w:rPr>
        <w:sz w:val="12"/>
        <w:szCs w:val="12"/>
      </w:rPr>
      <w:tab/>
      <w:t>www.</w:t>
    </w:r>
    <w:r w:rsidRPr="00E018C2">
      <w:rPr>
        <w:sz w:val="12"/>
        <w:szCs w:val="12"/>
      </w:rPr>
      <w:t xml:space="preserve"> </w:t>
    </w:r>
    <w:r>
      <w:rPr>
        <w:sz w:val="12"/>
        <w:szCs w:val="12"/>
      </w:rPr>
      <w:t xml:space="preserve">ihowz.uk           info@ihowz.uk </w:t>
    </w:r>
  </w:p>
  <w:p w14:paraId="24F6F036" w14:textId="77777777" w:rsidR="00916B14" w:rsidRPr="00780B98" w:rsidRDefault="00000000">
    <w:pPr>
      <w:pStyle w:val="Footer"/>
      <w:jc w:val="center"/>
      <w:rPr>
        <w:sz w:val="18"/>
        <w:szCs w:val="18"/>
      </w:rPr>
    </w:pPr>
    <w:sdt>
      <w:sdtPr>
        <w:id w:val="1774818562"/>
        <w:docPartObj>
          <w:docPartGallery w:val="Page Numbers (Bottom of Page)"/>
          <w:docPartUnique/>
        </w:docPartObj>
      </w:sdtPr>
      <w:sdtEndPr>
        <w:rPr>
          <w:sz w:val="18"/>
          <w:szCs w:val="18"/>
        </w:rPr>
      </w:sdtEndPr>
      <w:sdtContent>
        <w:sdt>
          <w:sdtPr>
            <w:rPr>
              <w:sz w:val="18"/>
              <w:szCs w:val="18"/>
            </w:rPr>
            <w:id w:val="-1669238322"/>
            <w:docPartObj>
              <w:docPartGallery w:val="Page Numbers (Top of Page)"/>
              <w:docPartUnique/>
            </w:docPartObj>
          </w:sdtPr>
          <w:sdtContent>
            <w:r w:rsidR="00916B14" w:rsidRPr="00780B98">
              <w:rPr>
                <w:sz w:val="18"/>
                <w:szCs w:val="18"/>
              </w:rPr>
              <w:t xml:space="preserve">Page </w:t>
            </w:r>
            <w:r w:rsidR="00916B14" w:rsidRPr="00780B98">
              <w:rPr>
                <w:b/>
                <w:bCs/>
                <w:sz w:val="18"/>
                <w:szCs w:val="18"/>
              </w:rPr>
              <w:fldChar w:fldCharType="begin"/>
            </w:r>
            <w:r w:rsidR="00916B14" w:rsidRPr="00780B98">
              <w:rPr>
                <w:b/>
                <w:bCs/>
                <w:sz w:val="18"/>
                <w:szCs w:val="18"/>
              </w:rPr>
              <w:instrText xml:space="preserve"> PAGE </w:instrText>
            </w:r>
            <w:r w:rsidR="00916B14" w:rsidRPr="00780B98">
              <w:rPr>
                <w:b/>
                <w:bCs/>
                <w:sz w:val="18"/>
                <w:szCs w:val="18"/>
              </w:rPr>
              <w:fldChar w:fldCharType="separate"/>
            </w:r>
            <w:r w:rsidR="006B515C">
              <w:rPr>
                <w:b/>
                <w:bCs/>
                <w:noProof/>
                <w:sz w:val="18"/>
                <w:szCs w:val="18"/>
              </w:rPr>
              <w:t>1</w:t>
            </w:r>
            <w:r w:rsidR="00916B14" w:rsidRPr="00780B98">
              <w:rPr>
                <w:b/>
                <w:bCs/>
                <w:sz w:val="18"/>
                <w:szCs w:val="18"/>
              </w:rPr>
              <w:fldChar w:fldCharType="end"/>
            </w:r>
            <w:r w:rsidR="00916B14" w:rsidRPr="00780B98">
              <w:rPr>
                <w:sz w:val="18"/>
                <w:szCs w:val="18"/>
              </w:rPr>
              <w:t xml:space="preserve"> of </w:t>
            </w:r>
            <w:r w:rsidR="00916B14" w:rsidRPr="00780B98">
              <w:rPr>
                <w:b/>
                <w:bCs/>
                <w:sz w:val="18"/>
                <w:szCs w:val="18"/>
              </w:rPr>
              <w:fldChar w:fldCharType="begin"/>
            </w:r>
            <w:r w:rsidR="00916B14" w:rsidRPr="00780B98">
              <w:rPr>
                <w:b/>
                <w:bCs/>
                <w:sz w:val="18"/>
                <w:szCs w:val="18"/>
              </w:rPr>
              <w:instrText xml:space="preserve"> NUMPAGES  </w:instrText>
            </w:r>
            <w:r w:rsidR="00916B14" w:rsidRPr="00780B98">
              <w:rPr>
                <w:b/>
                <w:bCs/>
                <w:sz w:val="18"/>
                <w:szCs w:val="18"/>
              </w:rPr>
              <w:fldChar w:fldCharType="separate"/>
            </w:r>
            <w:r w:rsidR="006B515C">
              <w:rPr>
                <w:b/>
                <w:bCs/>
                <w:noProof/>
                <w:sz w:val="18"/>
                <w:szCs w:val="18"/>
              </w:rPr>
              <w:t>1</w:t>
            </w:r>
            <w:r w:rsidR="00916B14" w:rsidRPr="00780B98">
              <w:rPr>
                <w:b/>
                <w:bCs/>
                <w:sz w:val="18"/>
                <w:szCs w:val="18"/>
              </w:rPr>
              <w:fldChar w:fldCharType="end"/>
            </w:r>
          </w:sdtContent>
        </w:sdt>
      </w:sdtContent>
    </w:sdt>
  </w:p>
  <w:p w14:paraId="306A1D1D" w14:textId="77777777" w:rsidR="00916B14" w:rsidRDefault="00916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50C14" w14:textId="77777777" w:rsidR="00D95532" w:rsidRDefault="00D95532" w:rsidP="004D3050">
      <w:pPr>
        <w:spacing w:after="0" w:line="240" w:lineRule="auto"/>
      </w:pPr>
      <w:r>
        <w:separator/>
      </w:r>
    </w:p>
  </w:footnote>
  <w:footnote w:type="continuationSeparator" w:id="0">
    <w:p w14:paraId="3AC79278" w14:textId="77777777" w:rsidR="00D95532" w:rsidRDefault="00D95532" w:rsidP="004D3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481E" w14:textId="2EE25DF2" w:rsidR="00916B14" w:rsidRPr="00D947D3" w:rsidRDefault="00000000" w:rsidP="00780B98">
    <w:pPr>
      <w:spacing w:after="0" w:line="240" w:lineRule="auto"/>
      <w:rPr>
        <w:rFonts w:cstheme="minorHAnsi"/>
        <w:sz w:val="24"/>
        <w:szCs w:val="24"/>
      </w:rPr>
    </w:pPr>
    <w:r>
      <w:rPr>
        <w:noProof/>
      </w:rPr>
      <w:pict w14:anchorId="7B1978EB">
        <v:shapetype id="_x0000_t202" coordsize="21600,21600" o:spt="202" path="m,l,21600r21600,l21600,xe">
          <v:stroke joinstyle="miter"/>
          <v:path gradientshapeok="t" o:connecttype="rect"/>
        </v:shapetype>
        <v:shape id="Text Box 10" o:spid="_x0000_s1028" type="#_x0000_t202" style="position:absolute;margin-left:284.9pt;margin-top:-7.6pt;width:216.4pt;height:33pt;z-index:251661312;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" filled="f" stroked="f" strokeweight=".5pt">
          <v:textbox style="mso-next-textbox:#Text Box 10">
            <w:txbxContent>
              <w:p w14:paraId="4A6BEADC" w14:textId="2255AE9E" w:rsidR="00916B14" w:rsidRPr="0021482A" w:rsidRDefault="005C6AF5" w:rsidP="00780B98">
                <w:pPr>
                  <w:rPr>
                    <w:b/>
                    <w:sz w:val="28"/>
                    <w:szCs w:val="28"/>
                    <w:lang w:val="en-US"/>
                  </w:rPr>
                </w:pPr>
                <w:r w:rsidRPr="0021482A">
                  <w:rPr>
                    <w:b/>
                    <w:bCs/>
                    <w:sz w:val="28"/>
                    <w:szCs w:val="28"/>
                    <w:lang w:val="en-US"/>
                  </w:rPr>
                  <w:t xml:space="preserve">Timeline of </w:t>
                </w:r>
                <w:r w:rsidR="0021482A">
                  <w:rPr>
                    <w:b/>
                    <w:bCs/>
                    <w:sz w:val="28"/>
                    <w:szCs w:val="28"/>
                    <w:lang w:val="en-US"/>
                  </w:rPr>
                  <w:t>R</w:t>
                </w:r>
                <w:r w:rsidRPr="0021482A">
                  <w:rPr>
                    <w:b/>
                    <w:bCs/>
                    <w:sz w:val="28"/>
                    <w:szCs w:val="28"/>
                    <w:lang w:val="en-US"/>
                  </w:rPr>
                  <w:t xml:space="preserve">ental </w:t>
                </w:r>
                <w:r w:rsidR="0021482A">
                  <w:rPr>
                    <w:b/>
                    <w:bCs/>
                    <w:sz w:val="28"/>
                    <w:szCs w:val="28"/>
                    <w:lang w:val="en-US"/>
                  </w:rPr>
                  <w:t>L</w:t>
                </w:r>
                <w:r w:rsidRPr="0021482A">
                  <w:rPr>
                    <w:b/>
                    <w:bCs/>
                    <w:sz w:val="28"/>
                    <w:szCs w:val="28"/>
                    <w:lang w:val="en-US"/>
                  </w:rPr>
                  <w:t>aw</w:t>
                </w:r>
                <w:r w:rsidR="002564D3" w:rsidRPr="0021482A">
                  <w:rPr>
                    <w:b/>
                    <w:bCs/>
                    <w:sz w:val="28"/>
                    <w:szCs w:val="28"/>
                    <w:lang w:val="en-US"/>
                  </w:rPr>
                  <w:t xml:space="preserve"> since 1974</w:t>
                </w:r>
              </w:p>
            </w:txbxContent>
          </v:textbox>
        </v:shape>
      </w:pict>
    </w:r>
    <w:r>
      <w:rPr>
        <w:noProof/>
      </w:rPr>
      <w:pict w14:anchorId="39DD0FF1">
        <v:shape id="Text Box 12" o:spid="_x0000_s1027" type="#_x0000_t202" style="position:absolute;margin-left:54.8pt;margin-top:-11.2pt;width:82.9pt;height:46.95pt;z-index:251660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" filled="f" stroked="f" strokeweight=".5pt">
          <v:textbox style="mso-next-textbox:#Text Box 12">
            <w:txbxContent>
              <w:p w14:paraId="26216D34" w14:textId="70130F3C" w:rsidR="00916B14" w:rsidRPr="001B6F4F" w:rsidRDefault="00916B14" w:rsidP="00780B98">
                <w:pPr>
                  <w:spacing w:after="0" w:line="240" w:lineRule="auto"/>
                  <w:rPr>
                    <w:rFonts w:ascii="Arial Rounded MT Bold" w:hAnsi="Arial Rounded MT Bold"/>
                    <w:b/>
                    <w:color w:val="9CC130"/>
                    <w:w w:val="68"/>
                    <w:kern w:val="144"/>
                  </w:rPr>
                </w:pPr>
                <w:r w:rsidRPr="001B6F4F">
                  <w:rPr>
                    <w:rFonts w:ascii="Arial Rounded MT Bold" w:hAnsi="Arial Rounded MT Bold"/>
                    <w:b/>
                    <w:color w:val="9CC130"/>
                    <w:w w:val="68"/>
                    <w:kern w:val="144"/>
                  </w:rPr>
                  <w:t>The</w:t>
                </w:r>
                <w:r w:rsidR="00986352" w:rsidRPr="001B6F4F">
                  <w:rPr>
                    <w:rFonts w:ascii="Arial Rounded MT Bold" w:hAnsi="Arial Rounded MT Bold"/>
                    <w:b/>
                    <w:color w:val="9CC130"/>
                    <w:w w:val="68"/>
                    <w:kern w:val="144"/>
                  </w:rPr>
                  <w:t xml:space="preserve"> </w:t>
                </w:r>
                <w:r w:rsidRPr="001B6F4F">
                  <w:rPr>
                    <w:rFonts w:ascii="Arial Rounded MT Bold" w:hAnsi="Arial Rounded MT Bold"/>
                    <w:b/>
                    <w:color w:val="9CC130"/>
                    <w:w w:val="68"/>
                    <w:kern w:val="144"/>
                  </w:rPr>
                  <w:t>Professional</w:t>
                </w:r>
              </w:p>
              <w:p w14:paraId="6B67230E" w14:textId="3D3AEA0D" w:rsidR="00916B14" w:rsidRPr="001B6F4F" w:rsidRDefault="00916B14" w:rsidP="00780B98">
                <w:pPr>
                  <w:spacing w:after="0" w:line="240" w:lineRule="auto"/>
                  <w:rPr>
                    <w:rFonts w:ascii="Arial Rounded MT Bold" w:hAnsi="Arial Rounded MT Bold"/>
                    <w:b/>
                    <w:color w:val="9CC130"/>
                    <w:w w:val="73"/>
                  </w:rPr>
                </w:pPr>
                <w:r w:rsidRPr="001B6F4F">
                  <w:rPr>
                    <w:rFonts w:ascii="Arial Rounded MT Bold" w:hAnsi="Arial Rounded MT Bold"/>
                    <w:b/>
                    <w:color w:val="9CC130"/>
                    <w:w w:val="73"/>
                  </w:rPr>
                  <w:t>Association for</w:t>
                </w:r>
              </w:p>
              <w:p w14:paraId="6EB8AEA5" w14:textId="77777777" w:rsidR="00916B14" w:rsidRPr="001B6F4F" w:rsidRDefault="00916B14" w:rsidP="00780B98">
                <w:pPr>
                  <w:spacing w:after="0" w:line="240" w:lineRule="auto"/>
                  <w:rPr>
                    <w:rFonts w:ascii="Arial Rounded MT Bold" w:hAnsi="Arial Rounded MT Bold"/>
                    <w:b/>
                    <w:color w:val="77AE02"/>
                    <w:w w:val="110"/>
                  </w:rPr>
                </w:pPr>
                <w:r w:rsidRPr="001B6F4F">
                  <w:rPr>
                    <w:rFonts w:ascii="Arial Rounded MT Bold" w:hAnsi="Arial Rounded MT Bold"/>
                    <w:b/>
                    <w:color w:val="77AE02"/>
                    <w:w w:val="110"/>
                  </w:rPr>
                  <w:t>Landlords</w:t>
                </w:r>
              </w:p>
            </w:txbxContent>
          </v:textbox>
        </v:shape>
      </w:pict>
    </w:r>
    <w:r>
      <w:rPr>
        <w:noProof/>
      </w:rPr>
      <w:pict w14:anchorId="6F17D67A">
        <v:shape id="Text Box 11" o:spid="_x0000_s1026" type="#_x0000_t202" style="position:absolute;margin-left:-.15pt;margin-top:-18.75pt;width:69pt;height:65.2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" filled="f" stroked="f" strokeweight=".5pt">
          <v:textbox style="mso-next-textbox:#Text Box 11">
            <w:txbxContent>
              <w:p w14:paraId="2672BFE3" w14:textId="6F78B273" w:rsidR="00916B14" w:rsidRDefault="00986352" w:rsidP="00780B98">
                <w:r>
                  <w:rPr>
                    <w:noProof/>
                    <w:lang w:eastAsia="en-GB"/>
                  </w:rPr>
                  <w:drawing>
                    <wp:inline distT="0" distB="0" distL="0" distR="0" wp14:anchorId="19ED3E67" wp14:editId="0462D74C">
                      <wp:extent cx="685800" cy="685800"/>
                      <wp:effectExtent l="0" t="0" r="0" b="0"/>
                      <wp:docPr id="131804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v:shape>
      </w:pict>
    </w:r>
  </w:p>
  <w:p w14:paraId="08327A26" w14:textId="77777777" w:rsidR="00916B14" w:rsidRDefault="00916B14">
    <w:pPr>
      <w:pStyle w:val="Header"/>
    </w:pPr>
  </w:p>
  <w:p w14:paraId="1384AFB7" w14:textId="6C7CF558" w:rsidR="00916B14" w:rsidRDefault="00000000">
    <w:pPr>
      <w:pStyle w:val="Header"/>
    </w:pPr>
    <w:r>
      <w:rPr>
        <w:noProof/>
      </w:rPr>
      <w:pict w14:anchorId="03EB5DEF">
        <v:line id="Straight Connector 14" o:spid="_x0000_s1025"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3.6pt" to="509.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" strokecolor="#77ae02" strokeweight="1.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75E46"/>
    <w:multiLevelType w:val="hybridMultilevel"/>
    <w:tmpl w:val="E3CA6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5704A3"/>
    <w:multiLevelType w:val="hybridMultilevel"/>
    <w:tmpl w:val="40345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616B6"/>
    <w:multiLevelType w:val="hybridMultilevel"/>
    <w:tmpl w:val="E65E3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1200D"/>
    <w:multiLevelType w:val="hybridMultilevel"/>
    <w:tmpl w:val="86C2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41F64"/>
    <w:multiLevelType w:val="hybridMultilevel"/>
    <w:tmpl w:val="DFC63A1E"/>
    <w:lvl w:ilvl="0" w:tplc="09A2E282">
      <w:start w:val="1"/>
      <w:numFmt w:val="bullet"/>
      <w:lvlText w:val="•"/>
      <w:lvlJc w:val="left"/>
      <w:pPr>
        <w:tabs>
          <w:tab w:val="num" w:pos="720"/>
        </w:tabs>
        <w:ind w:left="720" w:hanging="360"/>
      </w:pPr>
      <w:rPr>
        <w:rFonts w:ascii="Times New Roman" w:hAnsi="Times New Roman" w:hint="default"/>
      </w:rPr>
    </w:lvl>
    <w:lvl w:ilvl="1" w:tplc="5A82A046" w:tentative="1">
      <w:start w:val="1"/>
      <w:numFmt w:val="bullet"/>
      <w:lvlText w:val="•"/>
      <w:lvlJc w:val="left"/>
      <w:pPr>
        <w:tabs>
          <w:tab w:val="num" w:pos="1440"/>
        </w:tabs>
        <w:ind w:left="1440" w:hanging="360"/>
      </w:pPr>
      <w:rPr>
        <w:rFonts w:ascii="Times New Roman" w:hAnsi="Times New Roman" w:hint="default"/>
      </w:rPr>
    </w:lvl>
    <w:lvl w:ilvl="2" w:tplc="0764CD4A" w:tentative="1">
      <w:start w:val="1"/>
      <w:numFmt w:val="bullet"/>
      <w:lvlText w:val="•"/>
      <w:lvlJc w:val="left"/>
      <w:pPr>
        <w:tabs>
          <w:tab w:val="num" w:pos="2160"/>
        </w:tabs>
        <w:ind w:left="2160" w:hanging="360"/>
      </w:pPr>
      <w:rPr>
        <w:rFonts w:ascii="Times New Roman" w:hAnsi="Times New Roman" w:hint="default"/>
      </w:rPr>
    </w:lvl>
    <w:lvl w:ilvl="3" w:tplc="10B8A54E" w:tentative="1">
      <w:start w:val="1"/>
      <w:numFmt w:val="bullet"/>
      <w:lvlText w:val="•"/>
      <w:lvlJc w:val="left"/>
      <w:pPr>
        <w:tabs>
          <w:tab w:val="num" w:pos="2880"/>
        </w:tabs>
        <w:ind w:left="2880" w:hanging="360"/>
      </w:pPr>
      <w:rPr>
        <w:rFonts w:ascii="Times New Roman" w:hAnsi="Times New Roman" w:hint="default"/>
      </w:rPr>
    </w:lvl>
    <w:lvl w:ilvl="4" w:tplc="2AF205A4" w:tentative="1">
      <w:start w:val="1"/>
      <w:numFmt w:val="bullet"/>
      <w:lvlText w:val="•"/>
      <w:lvlJc w:val="left"/>
      <w:pPr>
        <w:tabs>
          <w:tab w:val="num" w:pos="3600"/>
        </w:tabs>
        <w:ind w:left="3600" w:hanging="360"/>
      </w:pPr>
      <w:rPr>
        <w:rFonts w:ascii="Times New Roman" w:hAnsi="Times New Roman" w:hint="default"/>
      </w:rPr>
    </w:lvl>
    <w:lvl w:ilvl="5" w:tplc="A78ADF4C" w:tentative="1">
      <w:start w:val="1"/>
      <w:numFmt w:val="bullet"/>
      <w:lvlText w:val="•"/>
      <w:lvlJc w:val="left"/>
      <w:pPr>
        <w:tabs>
          <w:tab w:val="num" w:pos="4320"/>
        </w:tabs>
        <w:ind w:left="4320" w:hanging="360"/>
      </w:pPr>
      <w:rPr>
        <w:rFonts w:ascii="Times New Roman" w:hAnsi="Times New Roman" w:hint="default"/>
      </w:rPr>
    </w:lvl>
    <w:lvl w:ilvl="6" w:tplc="E578C7A4" w:tentative="1">
      <w:start w:val="1"/>
      <w:numFmt w:val="bullet"/>
      <w:lvlText w:val="•"/>
      <w:lvlJc w:val="left"/>
      <w:pPr>
        <w:tabs>
          <w:tab w:val="num" w:pos="5040"/>
        </w:tabs>
        <w:ind w:left="5040" w:hanging="360"/>
      </w:pPr>
      <w:rPr>
        <w:rFonts w:ascii="Times New Roman" w:hAnsi="Times New Roman" w:hint="default"/>
      </w:rPr>
    </w:lvl>
    <w:lvl w:ilvl="7" w:tplc="931890A4" w:tentative="1">
      <w:start w:val="1"/>
      <w:numFmt w:val="bullet"/>
      <w:lvlText w:val="•"/>
      <w:lvlJc w:val="left"/>
      <w:pPr>
        <w:tabs>
          <w:tab w:val="num" w:pos="5760"/>
        </w:tabs>
        <w:ind w:left="5760" w:hanging="360"/>
      </w:pPr>
      <w:rPr>
        <w:rFonts w:ascii="Times New Roman" w:hAnsi="Times New Roman" w:hint="default"/>
      </w:rPr>
    </w:lvl>
    <w:lvl w:ilvl="8" w:tplc="526A1D6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0103EA6"/>
    <w:multiLevelType w:val="hybridMultilevel"/>
    <w:tmpl w:val="4C2466E0"/>
    <w:lvl w:ilvl="0" w:tplc="C492AB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40BE4"/>
    <w:multiLevelType w:val="hybridMultilevel"/>
    <w:tmpl w:val="95184E54"/>
    <w:lvl w:ilvl="0" w:tplc="E86E4396">
      <w:start w:val="1"/>
      <w:numFmt w:val="bullet"/>
      <w:lvlText w:val="•"/>
      <w:lvlJc w:val="left"/>
      <w:pPr>
        <w:tabs>
          <w:tab w:val="num" w:pos="720"/>
        </w:tabs>
        <w:ind w:left="720" w:hanging="360"/>
      </w:pPr>
      <w:rPr>
        <w:rFonts w:ascii="Times New Roman" w:hAnsi="Times New Roman" w:hint="default"/>
      </w:rPr>
    </w:lvl>
    <w:lvl w:ilvl="1" w:tplc="0809000F">
      <w:start w:val="1"/>
      <w:numFmt w:val="decimal"/>
      <w:lvlText w:val="%2."/>
      <w:lvlJc w:val="left"/>
      <w:pPr>
        <w:tabs>
          <w:tab w:val="num" w:pos="1440"/>
        </w:tabs>
        <w:ind w:left="1440" w:hanging="360"/>
      </w:pPr>
      <w:rPr>
        <w:rFonts w:hint="default"/>
      </w:rPr>
    </w:lvl>
    <w:lvl w:ilvl="2" w:tplc="6D222506" w:tentative="1">
      <w:start w:val="1"/>
      <w:numFmt w:val="bullet"/>
      <w:lvlText w:val="•"/>
      <w:lvlJc w:val="left"/>
      <w:pPr>
        <w:tabs>
          <w:tab w:val="num" w:pos="2160"/>
        </w:tabs>
        <w:ind w:left="2160" w:hanging="360"/>
      </w:pPr>
      <w:rPr>
        <w:rFonts w:ascii="Times New Roman" w:hAnsi="Times New Roman" w:hint="default"/>
      </w:rPr>
    </w:lvl>
    <w:lvl w:ilvl="3" w:tplc="A1F019D6" w:tentative="1">
      <w:start w:val="1"/>
      <w:numFmt w:val="bullet"/>
      <w:lvlText w:val="•"/>
      <w:lvlJc w:val="left"/>
      <w:pPr>
        <w:tabs>
          <w:tab w:val="num" w:pos="2880"/>
        </w:tabs>
        <w:ind w:left="2880" w:hanging="360"/>
      </w:pPr>
      <w:rPr>
        <w:rFonts w:ascii="Times New Roman" w:hAnsi="Times New Roman" w:hint="default"/>
      </w:rPr>
    </w:lvl>
    <w:lvl w:ilvl="4" w:tplc="88B65682" w:tentative="1">
      <w:start w:val="1"/>
      <w:numFmt w:val="bullet"/>
      <w:lvlText w:val="•"/>
      <w:lvlJc w:val="left"/>
      <w:pPr>
        <w:tabs>
          <w:tab w:val="num" w:pos="3600"/>
        </w:tabs>
        <w:ind w:left="3600" w:hanging="360"/>
      </w:pPr>
      <w:rPr>
        <w:rFonts w:ascii="Times New Roman" w:hAnsi="Times New Roman" w:hint="default"/>
      </w:rPr>
    </w:lvl>
    <w:lvl w:ilvl="5" w:tplc="553683E6" w:tentative="1">
      <w:start w:val="1"/>
      <w:numFmt w:val="bullet"/>
      <w:lvlText w:val="•"/>
      <w:lvlJc w:val="left"/>
      <w:pPr>
        <w:tabs>
          <w:tab w:val="num" w:pos="4320"/>
        </w:tabs>
        <w:ind w:left="4320" w:hanging="360"/>
      </w:pPr>
      <w:rPr>
        <w:rFonts w:ascii="Times New Roman" w:hAnsi="Times New Roman" w:hint="default"/>
      </w:rPr>
    </w:lvl>
    <w:lvl w:ilvl="6" w:tplc="B7167AA6" w:tentative="1">
      <w:start w:val="1"/>
      <w:numFmt w:val="bullet"/>
      <w:lvlText w:val="•"/>
      <w:lvlJc w:val="left"/>
      <w:pPr>
        <w:tabs>
          <w:tab w:val="num" w:pos="5040"/>
        </w:tabs>
        <w:ind w:left="5040" w:hanging="360"/>
      </w:pPr>
      <w:rPr>
        <w:rFonts w:ascii="Times New Roman" w:hAnsi="Times New Roman" w:hint="default"/>
      </w:rPr>
    </w:lvl>
    <w:lvl w:ilvl="7" w:tplc="D2A6DD3A" w:tentative="1">
      <w:start w:val="1"/>
      <w:numFmt w:val="bullet"/>
      <w:lvlText w:val="•"/>
      <w:lvlJc w:val="left"/>
      <w:pPr>
        <w:tabs>
          <w:tab w:val="num" w:pos="5760"/>
        </w:tabs>
        <w:ind w:left="5760" w:hanging="360"/>
      </w:pPr>
      <w:rPr>
        <w:rFonts w:ascii="Times New Roman" w:hAnsi="Times New Roman" w:hint="default"/>
      </w:rPr>
    </w:lvl>
    <w:lvl w:ilvl="8" w:tplc="7C78A0F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00911FE"/>
    <w:multiLevelType w:val="hybridMultilevel"/>
    <w:tmpl w:val="FDDA49F0"/>
    <w:lvl w:ilvl="0" w:tplc="E86E4396">
      <w:start w:val="1"/>
      <w:numFmt w:val="bullet"/>
      <w:lvlText w:val="•"/>
      <w:lvlJc w:val="left"/>
      <w:pPr>
        <w:tabs>
          <w:tab w:val="num" w:pos="720"/>
        </w:tabs>
        <w:ind w:left="720" w:hanging="360"/>
      </w:pPr>
      <w:rPr>
        <w:rFonts w:ascii="Times New Roman" w:hAnsi="Times New Roman" w:hint="default"/>
      </w:rPr>
    </w:lvl>
    <w:lvl w:ilvl="1" w:tplc="45D67EEA">
      <w:start w:val="2036"/>
      <w:numFmt w:val="bullet"/>
      <w:lvlText w:val="–"/>
      <w:lvlJc w:val="left"/>
      <w:pPr>
        <w:tabs>
          <w:tab w:val="num" w:pos="1440"/>
        </w:tabs>
        <w:ind w:left="1440" w:hanging="360"/>
      </w:pPr>
      <w:rPr>
        <w:rFonts w:ascii="Times New Roman" w:hAnsi="Times New Roman" w:hint="default"/>
      </w:rPr>
    </w:lvl>
    <w:lvl w:ilvl="2" w:tplc="6D222506" w:tentative="1">
      <w:start w:val="1"/>
      <w:numFmt w:val="bullet"/>
      <w:lvlText w:val="•"/>
      <w:lvlJc w:val="left"/>
      <w:pPr>
        <w:tabs>
          <w:tab w:val="num" w:pos="2160"/>
        </w:tabs>
        <w:ind w:left="2160" w:hanging="360"/>
      </w:pPr>
      <w:rPr>
        <w:rFonts w:ascii="Times New Roman" w:hAnsi="Times New Roman" w:hint="default"/>
      </w:rPr>
    </w:lvl>
    <w:lvl w:ilvl="3" w:tplc="A1F019D6" w:tentative="1">
      <w:start w:val="1"/>
      <w:numFmt w:val="bullet"/>
      <w:lvlText w:val="•"/>
      <w:lvlJc w:val="left"/>
      <w:pPr>
        <w:tabs>
          <w:tab w:val="num" w:pos="2880"/>
        </w:tabs>
        <w:ind w:left="2880" w:hanging="360"/>
      </w:pPr>
      <w:rPr>
        <w:rFonts w:ascii="Times New Roman" w:hAnsi="Times New Roman" w:hint="default"/>
      </w:rPr>
    </w:lvl>
    <w:lvl w:ilvl="4" w:tplc="88B65682" w:tentative="1">
      <w:start w:val="1"/>
      <w:numFmt w:val="bullet"/>
      <w:lvlText w:val="•"/>
      <w:lvlJc w:val="left"/>
      <w:pPr>
        <w:tabs>
          <w:tab w:val="num" w:pos="3600"/>
        </w:tabs>
        <w:ind w:left="3600" w:hanging="360"/>
      </w:pPr>
      <w:rPr>
        <w:rFonts w:ascii="Times New Roman" w:hAnsi="Times New Roman" w:hint="default"/>
      </w:rPr>
    </w:lvl>
    <w:lvl w:ilvl="5" w:tplc="553683E6" w:tentative="1">
      <w:start w:val="1"/>
      <w:numFmt w:val="bullet"/>
      <w:lvlText w:val="•"/>
      <w:lvlJc w:val="left"/>
      <w:pPr>
        <w:tabs>
          <w:tab w:val="num" w:pos="4320"/>
        </w:tabs>
        <w:ind w:left="4320" w:hanging="360"/>
      </w:pPr>
      <w:rPr>
        <w:rFonts w:ascii="Times New Roman" w:hAnsi="Times New Roman" w:hint="default"/>
      </w:rPr>
    </w:lvl>
    <w:lvl w:ilvl="6" w:tplc="B7167AA6" w:tentative="1">
      <w:start w:val="1"/>
      <w:numFmt w:val="bullet"/>
      <w:lvlText w:val="•"/>
      <w:lvlJc w:val="left"/>
      <w:pPr>
        <w:tabs>
          <w:tab w:val="num" w:pos="5040"/>
        </w:tabs>
        <w:ind w:left="5040" w:hanging="360"/>
      </w:pPr>
      <w:rPr>
        <w:rFonts w:ascii="Times New Roman" w:hAnsi="Times New Roman" w:hint="default"/>
      </w:rPr>
    </w:lvl>
    <w:lvl w:ilvl="7" w:tplc="D2A6DD3A" w:tentative="1">
      <w:start w:val="1"/>
      <w:numFmt w:val="bullet"/>
      <w:lvlText w:val="•"/>
      <w:lvlJc w:val="left"/>
      <w:pPr>
        <w:tabs>
          <w:tab w:val="num" w:pos="5760"/>
        </w:tabs>
        <w:ind w:left="5760" w:hanging="360"/>
      </w:pPr>
      <w:rPr>
        <w:rFonts w:ascii="Times New Roman" w:hAnsi="Times New Roman" w:hint="default"/>
      </w:rPr>
    </w:lvl>
    <w:lvl w:ilvl="8" w:tplc="7C78A0F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7DD53D2"/>
    <w:multiLevelType w:val="multilevel"/>
    <w:tmpl w:val="C0200FA0"/>
    <w:lvl w:ilvl="0">
      <w:start w:val="1"/>
      <w:numFmt w:val="decimal"/>
      <w:lvlText w:val="%1."/>
      <w:lvlJc w:val="left"/>
      <w:pPr>
        <w:tabs>
          <w:tab w:val="num" w:pos="720"/>
        </w:tabs>
        <w:ind w:left="720" w:hanging="360"/>
      </w:pPr>
    </w:lvl>
    <w:lvl w:ilvl="1">
      <w:start w:val="21"/>
      <w:numFmt w:val="bullet"/>
      <w:lvlText w:val="-"/>
      <w:lvlJc w:val="left"/>
      <w:pPr>
        <w:ind w:left="1440" w:hanging="360"/>
      </w:pPr>
      <w:rPr>
        <w:rFonts w:ascii="Calibri" w:eastAsiaTheme="minorHAnsi" w:hAnsi="Calibri" w:cs="Calibri" w:hint="default"/>
        <w:b/>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D932B6"/>
    <w:multiLevelType w:val="multilevel"/>
    <w:tmpl w:val="499A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D210C8"/>
    <w:multiLevelType w:val="multilevel"/>
    <w:tmpl w:val="C5A4A8F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D64570C"/>
    <w:multiLevelType w:val="multilevel"/>
    <w:tmpl w:val="66C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C0A9A"/>
    <w:multiLevelType w:val="hybridMultilevel"/>
    <w:tmpl w:val="B61A8442"/>
    <w:lvl w:ilvl="0" w:tplc="7EDC547E">
      <w:start w:val="1"/>
      <w:numFmt w:val="bullet"/>
      <w:lvlText w:val="•"/>
      <w:lvlJc w:val="left"/>
      <w:pPr>
        <w:tabs>
          <w:tab w:val="num" w:pos="720"/>
        </w:tabs>
        <w:ind w:left="720" w:hanging="360"/>
      </w:pPr>
      <w:rPr>
        <w:rFonts w:ascii="Times New Roman" w:hAnsi="Times New Roman" w:hint="default"/>
      </w:rPr>
    </w:lvl>
    <w:lvl w:ilvl="1" w:tplc="E69EBBA0" w:tentative="1">
      <w:start w:val="1"/>
      <w:numFmt w:val="bullet"/>
      <w:lvlText w:val="•"/>
      <w:lvlJc w:val="left"/>
      <w:pPr>
        <w:tabs>
          <w:tab w:val="num" w:pos="1440"/>
        </w:tabs>
        <w:ind w:left="1440" w:hanging="360"/>
      </w:pPr>
      <w:rPr>
        <w:rFonts w:ascii="Times New Roman" w:hAnsi="Times New Roman" w:hint="default"/>
      </w:rPr>
    </w:lvl>
    <w:lvl w:ilvl="2" w:tplc="737839D8" w:tentative="1">
      <w:start w:val="1"/>
      <w:numFmt w:val="bullet"/>
      <w:lvlText w:val="•"/>
      <w:lvlJc w:val="left"/>
      <w:pPr>
        <w:tabs>
          <w:tab w:val="num" w:pos="2160"/>
        </w:tabs>
        <w:ind w:left="2160" w:hanging="360"/>
      </w:pPr>
      <w:rPr>
        <w:rFonts w:ascii="Times New Roman" w:hAnsi="Times New Roman" w:hint="default"/>
      </w:rPr>
    </w:lvl>
    <w:lvl w:ilvl="3" w:tplc="5BF6824C" w:tentative="1">
      <w:start w:val="1"/>
      <w:numFmt w:val="bullet"/>
      <w:lvlText w:val="•"/>
      <w:lvlJc w:val="left"/>
      <w:pPr>
        <w:tabs>
          <w:tab w:val="num" w:pos="2880"/>
        </w:tabs>
        <w:ind w:left="2880" w:hanging="360"/>
      </w:pPr>
      <w:rPr>
        <w:rFonts w:ascii="Times New Roman" w:hAnsi="Times New Roman" w:hint="default"/>
      </w:rPr>
    </w:lvl>
    <w:lvl w:ilvl="4" w:tplc="0A8015B2" w:tentative="1">
      <w:start w:val="1"/>
      <w:numFmt w:val="bullet"/>
      <w:lvlText w:val="•"/>
      <w:lvlJc w:val="left"/>
      <w:pPr>
        <w:tabs>
          <w:tab w:val="num" w:pos="3600"/>
        </w:tabs>
        <w:ind w:left="3600" w:hanging="360"/>
      </w:pPr>
      <w:rPr>
        <w:rFonts w:ascii="Times New Roman" w:hAnsi="Times New Roman" w:hint="default"/>
      </w:rPr>
    </w:lvl>
    <w:lvl w:ilvl="5" w:tplc="C65C4332" w:tentative="1">
      <w:start w:val="1"/>
      <w:numFmt w:val="bullet"/>
      <w:lvlText w:val="•"/>
      <w:lvlJc w:val="left"/>
      <w:pPr>
        <w:tabs>
          <w:tab w:val="num" w:pos="4320"/>
        </w:tabs>
        <w:ind w:left="4320" w:hanging="360"/>
      </w:pPr>
      <w:rPr>
        <w:rFonts w:ascii="Times New Roman" w:hAnsi="Times New Roman" w:hint="default"/>
      </w:rPr>
    </w:lvl>
    <w:lvl w:ilvl="6" w:tplc="5BEE3544" w:tentative="1">
      <w:start w:val="1"/>
      <w:numFmt w:val="bullet"/>
      <w:lvlText w:val="•"/>
      <w:lvlJc w:val="left"/>
      <w:pPr>
        <w:tabs>
          <w:tab w:val="num" w:pos="5040"/>
        </w:tabs>
        <w:ind w:left="5040" w:hanging="360"/>
      </w:pPr>
      <w:rPr>
        <w:rFonts w:ascii="Times New Roman" w:hAnsi="Times New Roman" w:hint="default"/>
      </w:rPr>
    </w:lvl>
    <w:lvl w:ilvl="7" w:tplc="D924D3BC" w:tentative="1">
      <w:start w:val="1"/>
      <w:numFmt w:val="bullet"/>
      <w:lvlText w:val="•"/>
      <w:lvlJc w:val="left"/>
      <w:pPr>
        <w:tabs>
          <w:tab w:val="num" w:pos="5760"/>
        </w:tabs>
        <w:ind w:left="5760" w:hanging="360"/>
      </w:pPr>
      <w:rPr>
        <w:rFonts w:ascii="Times New Roman" w:hAnsi="Times New Roman" w:hint="default"/>
      </w:rPr>
    </w:lvl>
    <w:lvl w:ilvl="8" w:tplc="5344B1B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40C4765"/>
    <w:multiLevelType w:val="hybridMultilevel"/>
    <w:tmpl w:val="51C44B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D71C7E"/>
    <w:multiLevelType w:val="hybridMultilevel"/>
    <w:tmpl w:val="2D00D3E0"/>
    <w:lvl w:ilvl="0" w:tplc="D8363D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4876C2"/>
    <w:multiLevelType w:val="hybridMultilevel"/>
    <w:tmpl w:val="744E303E"/>
    <w:lvl w:ilvl="0" w:tplc="C13A623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DC7C82"/>
    <w:multiLevelType w:val="hybridMultilevel"/>
    <w:tmpl w:val="AC78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973732"/>
    <w:multiLevelType w:val="hybridMultilevel"/>
    <w:tmpl w:val="5F4A3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58757C"/>
    <w:multiLevelType w:val="hybridMultilevel"/>
    <w:tmpl w:val="F4CCC642"/>
    <w:lvl w:ilvl="0" w:tplc="6112622E">
      <w:start w:val="1"/>
      <w:numFmt w:val="decimal"/>
      <w:lvlText w:val="%1."/>
      <w:lvlJc w:val="left"/>
      <w:pPr>
        <w:tabs>
          <w:tab w:val="num" w:pos="1080"/>
        </w:tabs>
        <w:ind w:left="1080" w:hanging="360"/>
      </w:pPr>
    </w:lvl>
    <w:lvl w:ilvl="1" w:tplc="FCCA716C" w:tentative="1">
      <w:start w:val="1"/>
      <w:numFmt w:val="decimal"/>
      <w:lvlText w:val="%2."/>
      <w:lvlJc w:val="left"/>
      <w:pPr>
        <w:tabs>
          <w:tab w:val="num" w:pos="1800"/>
        </w:tabs>
        <w:ind w:left="1800" w:hanging="360"/>
      </w:pPr>
    </w:lvl>
    <w:lvl w:ilvl="2" w:tplc="B636DC0E" w:tentative="1">
      <w:start w:val="1"/>
      <w:numFmt w:val="decimal"/>
      <w:lvlText w:val="%3."/>
      <w:lvlJc w:val="left"/>
      <w:pPr>
        <w:tabs>
          <w:tab w:val="num" w:pos="2520"/>
        </w:tabs>
        <w:ind w:left="2520" w:hanging="360"/>
      </w:pPr>
    </w:lvl>
    <w:lvl w:ilvl="3" w:tplc="B8E00508" w:tentative="1">
      <w:start w:val="1"/>
      <w:numFmt w:val="decimal"/>
      <w:lvlText w:val="%4."/>
      <w:lvlJc w:val="left"/>
      <w:pPr>
        <w:tabs>
          <w:tab w:val="num" w:pos="3240"/>
        </w:tabs>
        <w:ind w:left="3240" w:hanging="360"/>
      </w:pPr>
    </w:lvl>
    <w:lvl w:ilvl="4" w:tplc="4E687D3C" w:tentative="1">
      <w:start w:val="1"/>
      <w:numFmt w:val="decimal"/>
      <w:lvlText w:val="%5."/>
      <w:lvlJc w:val="left"/>
      <w:pPr>
        <w:tabs>
          <w:tab w:val="num" w:pos="3960"/>
        </w:tabs>
        <w:ind w:left="3960" w:hanging="360"/>
      </w:pPr>
    </w:lvl>
    <w:lvl w:ilvl="5" w:tplc="DECCC6F8" w:tentative="1">
      <w:start w:val="1"/>
      <w:numFmt w:val="decimal"/>
      <w:lvlText w:val="%6."/>
      <w:lvlJc w:val="left"/>
      <w:pPr>
        <w:tabs>
          <w:tab w:val="num" w:pos="4680"/>
        </w:tabs>
        <w:ind w:left="4680" w:hanging="360"/>
      </w:pPr>
    </w:lvl>
    <w:lvl w:ilvl="6" w:tplc="A23ED2A0" w:tentative="1">
      <w:start w:val="1"/>
      <w:numFmt w:val="decimal"/>
      <w:lvlText w:val="%7."/>
      <w:lvlJc w:val="left"/>
      <w:pPr>
        <w:tabs>
          <w:tab w:val="num" w:pos="5400"/>
        </w:tabs>
        <w:ind w:left="5400" w:hanging="360"/>
      </w:pPr>
    </w:lvl>
    <w:lvl w:ilvl="7" w:tplc="F93E496E" w:tentative="1">
      <w:start w:val="1"/>
      <w:numFmt w:val="decimal"/>
      <w:lvlText w:val="%8."/>
      <w:lvlJc w:val="left"/>
      <w:pPr>
        <w:tabs>
          <w:tab w:val="num" w:pos="6120"/>
        </w:tabs>
        <w:ind w:left="6120" w:hanging="360"/>
      </w:pPr>
    </w:lvl>
    <w:lvl w:ilvl="8" w:tplc="96A00190" w:tentative="1">
      <w:start w:val="1"/>
      <w:numFmt w:val="decimal"/>
      <w:lvlText w:val="%9."/>
      <w:lvlJc w:val="left"/>
      <w:pPr>
        <w:tabs>
          <w:tab w:val="num" w:pos="6840"/>
        </w:tabs>
        <w:ind w:left="6840" w:hanging="360"/>
      </w:pPr>
    </w:lvl>
  </w:abstractNum>
  <w:abstractNum w:abstractNumId="19" w15:restartNumberingAfterBreak="0">
    <w:nsid w:val="60462CA6"/>
    <w:multiLevelType w:val="multilevel"/>
    <w:tmpl w:val="3DA4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BB1980"/>
    <w:multiLevelType w:val="hybridMultilevel"/>
    <w:tmpl w:val="D204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0E147D"/>
    <w:multiLevelType w:val="hybridMultilevel"/>
    <w:tmpl w:val="3EE8CD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B246D718">
      <w:start w:val="1"/>
      <w:numFmt w:val="bullet"/>
      <w:lvlText w:val=""/>
      <w:lvlJc w:val="left"/>
      <w:pPr>
        <w:tabs>
          <w:tab w:val="num" w:pos="2880"/>
        </w:tabs>
        <w:ind w:left="2880" w:hanging="360"/>
      </w:pPr>
      <w:rPr>
        <w:rFonts w:ascii="Wingdings" w:hAnsi="Wingdings" w:hint="default"/>
      </w:rPr>
    </w:lvl>
    <w:lvl w:ilvl="4" w:tplc="538A2C98" w:tentative="1">
      <w:start w:val="1"/>
      <w:numFmt w:val="bullet"/>
      <w:lvlText w:val=""/>
      <w:lvlJc w:val="left"/>
      <w:pPr>
        <w:tabs>
          <w:tab w:val="num" w:pos="3600"/>
        </w:tabs>
        <w:ind w:left="3600" w:hanging="360"/>
      </w:pPr>
      <w:rPr>
        <w:rFonts w:ascii="Wingdings" w:hAnsi="Wingdings" w:hint="default"/>
      </w:rPr>
    </w:lvl>
    <w:lvl w:ilvl="5" w:tplc="382C8210" w:tentative="1">
      <w:start w:val="1"/>
      <w:numFmt w:val="bullet"/>
      <w:lvlText w:val=""/>
      <w:lvlJc w:val="left"/>
      <w:pPr>
        <w:tabs>
          <w:tab w:val="num" w:pos="4320"/>
        </w:tabs>
        <w:ind w:left="4320" w:hanging="360"/>
      </w:pPr>
      <w:rPr>
        <w:rFonts w:ascii="Wingdings" w:hAnsi="Wingdings" w:hint="default"/>
      </w:rPr>
    </w:lvl>
    <w:lvl w:ilvl="6" w:tplc="FF10A234" w:tentative="1">
      <w:start w:val="1"/>
      <w:numFmt w:val="bullet"/>
      <w:lvlText w:val=""/>
      <w:lvlJc w:val="left"/>
      <w:pPr>
        <w:tabs>
          <w:tab w:val="num" w:pos="5040"/>
        </w:tabs>
        <w:ind w:left="5040" w:hanging="360"/>
      </w:pPr>
      <w:rPr>
        <w:rFonts w:ascii="Wingdings" w:hAnsi="Wingdings" w:hint="default"/>
      </w:rPr>
    </w:lvl>
    <w:lvl w:ilvl="7" w:tplc="22DE13CA" w:tentative="1">
      <w:start w:val="1"/>
      <w:numFmt w:val="bullet"/>
      <w:lvlText w:val=""/>
      <w:lvlJc w:val="left"/>
      <w:pPr>
        <w:tabs>
          <w:tab w:val="num" w:pos="5760"/>
        </w:tabs>
        <w:ind w:left="5760" w:hanging="360"/>
      </w:pPr>
      <w:rPr>
        <w:rFonts w:ascii="Wingdings" w:hAnsi="Wingdings" w:hint="default"/>
      </w:rPr>
    </w:lvl>
    <w:lvl w:ilvl="8" w:tplc="B218E38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AB63DE"/>
    <w:multiLevelType w:val="multilevel"/>
    <w:tmpl w:val="59EC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391802"/>
    <w:multiLevelType w:val="hybridMultilevel"/>
    <w:tmpl w:val="6426991C"/>
    <w:lvl w:ilvl="0" w:tplc="4678C386">
      <w:start w:val="1"/>
      <w:numFmt w:val="bullet"/>
      <w:lvlText w:val="•"/>
      <w:lvlJc w:val="left"/>
      <w:pPr>
        <w:tabs>
          <w:tab w:val="num" w:pos="720"/>
        </w:tabs>
        <w:ind w:left="720" w:hanging="360"/>
      </w:pPr>
      <w:rPr>
        <w:rFonts w:ascii="Times New Roman" w:hAnsi="Times New Roman" w:hint="default"/>
      </w:rPr>
    </w:lvl>
    <w:lvl w:ilvl="1" w:tplc="A4B44064">
      <w:start w:val="1"/>
      <w:numFmt w:val="bullet"/>
      <w:lvlText w:val="•"/>
      <w:lvlJc w:val="left"/>
      <w:pPr>
        <w:tabs>
          <w:tab w:val="num" w:pos="1440"/>
        </w:tabs>
        <w:ind w:left="1440" w:hanging="360"/>
      </w:pPr>
      <w:rPr>
        <w:rFonts w:ascii="Times New Roman" w:hAnsi="Times New Roman" w:hint="default"/>
      </w:rPr>
    </w:lvl>
    <w:lvl w:ilvl="2" w:tplc="C4CA1ABA" w:tentative="1">
      <w:start w:val="1"/>
      <w:numFmt w:val="bullet"/>
      <w:lvlText w:val="•"/>
      <w:lvlJc w:val="left"/>
      <w:pPr>
        <w:tabs>
          <w:tab w:val="num" w:pos="2160"/>
        </w:tabs>
        <w:ind w:left="2160" w:hanging="360"/>
      </w:pPr>
      <w:rPr>
        <w:rFonts w:ascii="Times New Roman" w:hAnsi="Times New Roman" w:hint="default"/>
      </w:rPr>
    </w:lvl>
    <w:lvl w:ilvl="3" w:tplc="D4FAFE7C" w:tentative="1">
      <w:start w:val="1"/>
      <w:numFmt w:val="bullet"/>
      <w:lvlText w:val="•"/>
      <w:lvlJc w:val="left"/>
      <w:pPr>
        <w:tabs>
          <w:tab w:val="num" w:pos="2880"/>
        </w:tabs>
        <w:ind w:left="2880" w:hanging="360"/>
      </w:pPr>
      <w:rPr>
        <w:rFonts w:ascii="Times New Roman" w:hAnsi="Times New Roman" w:hint="default"/>
      </w:rPr>
    </w:lvl>
    <w:lvl w:ilvl="4" w:tplc="68F021E6" w:tentative="1">
      <w:start w:val="1"/>
      <w:numFmt w:val="bullet"/>
      <w:lvlText w:val="•"/>
      <w:lvlJc w:val="left"/>
      <w:pPr>
        <w:tabs>
          <w:tab w:val="num" w:pos="3600"/>
        </w:tabs>
        <w:ind w:left="3600" w:hanging="360"/>
      </w:pPr>
      <w:rPr>
        <w:rFonts w:ascii="Times New Roman" w:hAnsi="Times New Roman" w:hint="default"/>
      </w:rPr>
    </w:lvl>
    <w:lvl w:ilvl="5" w:tplc="C5861B16" w:tentative="1">
      <w:start w:val="1"/>
      <w:numFmt w:val="bullet"/>
      <w:lvlText w:val="•"/>
      <w:lvlJc w:val="left"/>
      <w:pPr>
        <w:tabs>
          <w:tab w:val="num" w:pos="4320"/>
        </w:tabs>
        <w:ind w:left="4320" w:hanging="360"/>
      </w:pPr>
      <w:rPr>
        <w:rFonts w:ascii="Times New Roman" w:hAnsi="Times New Roman" w:hint="default"/>
      </w:rPr>
    </w:lvl>
    <w:lvl w:ilvl="6" w:tplc="6D282CE0" w:tentative="1">
      <w:start w:val="1"/>
      <w:numFmt w:val="bullet"/>
      <w:lvlText w:val="•"/>
      <w:lvlJc w:val="left"/>
      <w:pPr>
        <w:tabs>
          <w:tab w:val="num" w:pos="5040"/>
        </w:tabs>
        <w:ind w:left="5040" w:hanging="360"/>
      </w:pPr>
      <w:rPr>
        <w:rFonts w:ascii="Times New Roman" w:hAnsi="Times New Roman" w:hint="default"/>
      </w:rPr>
    </w:lvl>
    <w:lvl w:ilvl="7" w:tplc="DC08B12E" w:tentative="1">
      <w:start w:val="1"/>
      <w:numFmt w:val="bullet"/>
      <w:lvlText w:val="•"/>
      <w:lvlJc w:val="left"/>
      <w:pPr>
        <w:tabs>
          <w:tab w:val="num" w:pos="5760"/>
        </w:tabs>
        <w:ind w:left="5760" w:hanging="360"/>
      </w:pPr>
      <w:rPr>
        <w:rFonts w:ascii="Times New Roman" w:hAnsi="Times New Roman" w:hint="default"/>
      </w:rPr>
    </w:lvl>
    <w:lvl w:ilvl="8" w:tplc="BD0CF0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E932651"/>
    <w:multiLevelType w:val="hybridMultilevel"/>
    <w:tmpl w:val="4E76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1317703">
    <w:abstractNumId w:val="22"/>
  </w:num>
  <w:num w:numId="2" w16cid:durableId="1905405979">
    <w:abstractNumId w:val="1"/>
  </w:num>
  <w:num w:numId="3" w16cid:durableId="2029789445">
    <w:abstractNumId w:val="15"/>
  </w:num>
  <w:num w:numId="4" w16cid:durableId="766004311">
    <w:abstractNumId w:val="11"/>
  </w:num>
  <w:num w:numId="5" w16cid:durableId="646396794">
    <w:abstractNumId w:val="23"/>
  </w:num>
  <w:num w:numId="6" w16cid:durableId="2068798812">
    <w:abstractNumId w:val="12"/>
  </w:num>
  <w:num w:numId="7" w16cid:durableId="1579897235">
    <w:abstractNumId w:val="4"/>
  </w:num>
  <w:num w:numId="8" w16cid:durableId="123040903">
    <w:abstractNumId w:val="7"/>
  </w:num>
  <w:num w:numId="9" w16cid:durableId="709188526">
    <w:abstractNumId w:val="18"/>
  </w:num>
  <w:num w:numId="10" w16cid:durableId="986937685">
    <w:abstractNumId w:val="6"/>
  </w:num>
  <w:num w:numId="11" w16cid:durableId="832257431">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357728148">
    <w:abstractNumId w:val="8"/>
  </w:num>
  <w:num w:numId="13" w16cid:durableId="1955474513">
    <w:abstractNumId w:val="10"/>
  </w:num>
  <w:num w:numId="14" w16cid:durableId="1649892878">
    <w:abstractNumId w:val="13"/>
  </w:num>
  <w:num w:numId="15" w16cid:durableId="562956117">
    <w:abstractNumId w:val="5"/>
  </w:num>
  <w:num w:numId="16" w16cid:durableId="854925890">
    <w:abstractNumId w:val="0"/>
  </w:num>
  <w:num w:numId="17" w16cid:durableId="239755436">
    <w:abstractNumId w:val="20"/>
  </w:num>
  <w:num w:numId="18" w16cid:durableId="666906292">
    <w:abstractNumId w:val="2"/>
  </w:num>
  <w:num w:numId="19" w16cid:durableId="2007854252">
    <w:abstractNumId w:val="16"/>
  </w:num>
  <w:num w:numId="20" w16cid:durableId="192421130">
    <w:abstractNumId w:val="24"/>
  </w:num>
  <w:num w:numId="21" w16cid:durableId="1726176884">
    <w:abstractNumId w:val="21"/>
  </w:num>
  <w:num w:numId="22" w16cid:durableId="1355184688">
    <w:abstractNumId w:val="14"/>
  </w:num>
  <w:num w:numId="23" w16cid:durableId="441802033">
    <w:abstractNumId w:val="3"/>
  </w:num>
  <w:num w:numId="24" w16cid:durableId="912010971">
    <w:abstractNumId w:val="17"/>
  </w:num>
  <w:num w:numId="25" w16cid:durableId="8808983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B38FC"/>
    <w:rsid w:val="000073D5"/>
    <w:rsid w:val="00010337"/>
    <w:rsid w:val="000434C7"/>
    <w:rsid w:val="0005492D"/>
    <w:rsid w:val="00063B33"/>
    <w:rsid w:val="000926E7"/>
    <w:rsid w:val="000A2B5C"/>
    <w:rsid w:val="000A5E75"/>
    <w:rsid w:val="000B5646"/>
    <w:rsid w:val="000C17CF"/>
    <w:rsid w:val="000C2625"/>
    <w:rsid w:val="001164CD"/>
    <w:rsid w:val="00116683"/>
    <w:rsid w:val="0011730D"/>
    <w:rsid w:val="0012093E"/>
    <w:rsid w:val="00171EF8"/>
    <w:rsid w:val="0018479E"/>
    <w:rsid w:val="001944ED"/>
    <w:rsid w:val="001A418A"/>
    <w:rsid w:val="001B11BB"/>
    <w:rsid w:val="001B38FC"/>
    <w:rsid w:val="001B6F4F"/>
    <w:rsid w:val="001C05E0"/>
    <w:rsid w:val="001D31DE"/>
    <w:rsid w:val="001E4468"/>
    <w:rsid w:val="00205688"/>
    <w:rsid w:val="00205B04"/>
    <w:rsid w:val="002071A6"/>
    <w:rsid w:val="0021482A"/>
    <w:rsid w:val="002274A9"/>
    <w:rsid w:val="002341A3"/>
    <w:rsid w:val="002564D3"/>
    <w:rsid w:val="00290D83"/>
    <w:rsid w:val="00292D57"/>
    <w:rsid w:val="002A3D2B"/>
    <w:rsid w:val="002A443A"/>
    <w:rsid w:val="002A4B7C"/>
    <w:rsid w:val="002B4ECB"/>
    <w:rsid w:val="002F3983"/>
    <w:rsid w:val="002F6A18"/>
    <w:rsid w:val="00307B59"/>
    <w:rsid w:val="00311566"/>
    <w:rsid w:val="00334AB9"/>
    <w:rsid w:val="0035178F"/>
    <w:rsid w:val="00372D5D"/>
    <w:rsid w:val="00380E19"/>
    <w:rsid w:val="00383DEB"/>
    <w:rsid w:val="00394F3F"/>
    <w:rsid w:val="00394F65"/>
    <w:rsid w:val="00396561"/>
    <w:rsid w:val="003A1FF4"/>
    <w:rsid w:val="003A3DFB"/>
    <w:rsid w:val="003A3F35"/>
    <w:rsid w:val="003B098F"/>
    <w:rsid w:val="003B702A"/>
    <w:rsid w:val="003C2956"/>
    <w:rsid w:val="003C3E21"/>
    <w:rsid w:val="003C3E31"/>
    <w:rsid w:val="003C55E0"/>
    <w:rsid w:val="003C560F"/>
    <w:rsid w:val="003D0DC0"/>
    <w:rsid w:val="003D6ECE"/>
    <w:rsid w:val="003D7286"/>
    <w:rsid w:val="003E3DC1"/>
    <w:rsid w:val="00430DB7"/>
    <w:rsid w:val="00464DB0"/>
    <w:rsid w:val="00471532"/>
    <w:rsid w:val="00487724"/>
    <w:rsid w:val="0049300A"/>
    <w:rsid w:val="004B3CE6"/>
    <w:rsid w:val="004D3050"/>
    <w:rsid w:val="004D3A8D"/>
    <w:rsid w:val="004E73A3"/>
    <w:rsid w:val="005218BC"/>
    <w:rsid w:val="005458F8"/>
    <w:rsid w:val="005518A2"/>
    <w:rsid w:val="00563DCB"/>
    <w:rsid w:val="00574155"/>
    <w:rsid w:val="00577A63"/>
    <w:rsid w:val="005977B2"/>
    <w:rsid w:val="005C10DA"/>
    <w:rsid w:val="005C6AF5"/>
    <w:rsid w:val="005F1B49"/>
    <w:rsid w:val="005F3FA7"/>
    <w:rsid w:val="005F74B7"/>
    <w:rsid w:val="00600A6C"/>
    <w:rsid w:val="00602155"/>
    <w:rsid w:val="00612575"/>
    <w:rsid w:val="00617CB7"/>
    <w:rsid w:val="00632A83"/>
    <w:rsid w:val="00642BB9"/>
    <w:rsid w:val="0064631C"/>
    <w:rsid w:val="0065001A"/>
    <w:rsid w:val="006670A8"/>
    <w:rsid w:val="00671E79"/>
    <w:rsid w:val="006774D8"/>
    <w:rsid w:val="006839B4"/>
    <w:rsid w:val="006A364A"/>
    <w:rsid w:val="006A6AAB"/>
    <w:rsid w:val="006B515C"/>
    <w:rsid w:val="006B6E65"/>
    <w:rsid w:val="006D6875"/>
    <w:rsid w:val="006F7952"/>
    <w:rsid w:val="00710538"/>
    <w:rsid w:val="00717BC4"/>
    <w:rsid w:val="0072338D"/>
    <w:rsid w:val="00727438"/>
    <w:rsid w:val="00740CC1"/>
    <w:rsid w:val="007470E2"/>
    <w:rsid w:val="00754E29"/>
    <w:rsid w:val="00760FBE"/>
    <w:rsid w:val="007657B5"/>
    <w:rsid w:val="007769F3"/>
    <w:rsid w:val="00777831"/>
    <w:rsid w:val="00780B98"/>
    <w:rsid w:val="0078415C"/>
    <w:rsid w:val="00787684"/>
    <w:rsid w:val="007933F6"/>
    <w:rsid w:val="00795061"/>
    <w:rsid w:val="007A0A69"/>
    <w:rsid w:val="007C5630"/>
    <w:rsid w:val="007D1B82"/>
    <w:rsid w:val="007E7A58"/>
    <w:rsid w:val="007F18F3"/>
    <w:rsid w:val="007F3031"/>
    <w:rsid w:val="008009DF"/>
    <w:rsid w:val="0081137E"/>
    <w:rsid w:val="0084098D"/>
    <w:rsid w:val="0084207F"/>
    <w:rsid w:val="00855D0E"/>
    <w:rsid w:val="00856FF0"/>
    <w:rsid w:val="00880615"/>
    <w:rsid w:val="00884C93"/>
    <w:rsid w:val="008B7822"/>
    <w:rsid w:val="008C22DA"/>
    <w:rsid w:val="008D3041"/>
    <w:rsid w:val="008E05FE"/>
    <w:rsid w:val="008F0E3E"/>
    <w:rsid w:val="008F2883"/>
    <w:rsid w:val="008F788A"/>
    <w:rsid w:val="00916B14"/>
    <w:rsid w:val="009174E2"/>
    <w:rsid w:val="00926125"/>
    <w:rsid w:val="009322A6"/>
    <w:rsid w:val="00962F6C"/>
    <w:rsid w:val="00975171"/>
    <w:rsid w:val="00986352"/>
    <w:rsid w:val="009A766F"/>
    <w:rsid w:val="009C1D05"/>
    <w:rsid w:val="009C6118"/>
    <w:rsid w:val="009D5EAF"/>
    <w:rsid w:val="00A50706"/>
    <w:rsid w:val="00A63A2B"/>
    <w:rsid w:val="00A64187"/>
    <w:rsid w:val="00A709A0"/>
    <w:rsid w:val="00A81698"/>
    <w:rsid w:val="00A97D1D"/>
    <w:rsid w:val="00AB1639"/>
    <w:rsid w:val="00AC2185"/>
    <w:rsid w:val="00AC6287"/>
    <w:rsid w:val="00AC7C4C"/>
    <w:rsid w:val="00AE49E5"/>
    <w:rsid w:val="00B00A12"/>
    <w:rsid w:val="00B04EB0"/>
    <w:rsid w:val="00B32B7B"/>
    <w:rsid w:val="00B423EA"/>
    <w:rsid w:val="00B506F1"/>
    <w:rsid w:val="00B56ACF"/>
    <w:rsid w:val="00B721C0"/>
    <w:rsid w:val="00B75D04"/>
    <w:rsid w:val="00B77817"/>
    <w:rsid w:val="00B779E3"/>
    <w:rsid w:val="00B92CA0"/>
    <w:rsid w:val="00BB40F2"/>
    <w:rsid w:val="00BD6156"/>
    <w:rsid w:val="00BF1A16"/>
    <w:rsid w:val="00C04D12"/>
    <w:rsid w:val="00C06F49"/>
    <w:rsid w:val="00C222C6"/>
    <w:rsid w:val="00C46160"/>
    <w:rsid w:val="00C574EF"/>
    <w:rsid w:val="00C677E7"/>
    <w:rsid w:val="00C75B3A"/>
    <w:rsid w:val="00C80EAD"/>
    <w:rsid w:val="00C87720"/>
    <w:rsid w:val="00CA7BAB"/>
    <w:rsid w:val="00CB2F46"/>
    <w:rsid w:val="00CC0761"/>
    <w:rsid w:val="00CC393D"/>
    <w:rsid w:val="00CD7A90"/>
    <w:rsid w:val="00CF1EE2"/>
    <w:rsid w:val="00D258C8"/>
    <w:rsid w:val="00D27AE9"/>
    <w:rsid w:val="00D27F37"/>
    <w:rsid w:val="00D409F3"/>
    <w:rsid w:val="00D4227C"/>
    <w:rsid w:val="00D57C67"/>
    <w:rsid w:val="00D63EC1"/>
    <w:rsid w:val="00D947D3"/>
    <w:rsid w:val="00D95532"/>
    <w:rsid w:val="00D97DE4"/>
    <w:rsid w:val="00DB0D02"/>
    <w:rsid w:val="00E128A5"/>
    <w:rsid w:val="00E34C41"/>
    <w:rsid w:val="00E34DCD"/>
    <w:rsid w:val="00E44E15"/>
    <w:rsid w:val="00E461BF"/>
    <w:rsid w:val="00E643EF"/>
    <w:rsid w:val="00E806EE"/>
    <w:rsid w:val="00EB341B"/>
    <w:rsid w:val="00EB59CD"/>
    <w:rsid w:val="00EC13D0"/>
    <w:rsid w:val="00EC1FFC"/>
    <w:rsid w:val="00ED5E15"/>
    <w:rsid w:val="00EE5F74"/>
    <w:rsid w:val="00EF2525"/>
    <w:rsid w:val="00F00F33"/>
    <w:rsid w:val="00F03D7D"/>
    <w:rsid w:val="00F3174D"/>
    <w:rsid w:val="00F31A0D"/>
    <w:rsid w:val="00F3714B"/>
    <w:rsid w:val="00F54C83"/>
    <w:rsid w:val="00F64C64"/>
    <w:rsid w:val="00FA190F"/>
    <w:rsid w:val="00FA200C"/>
    <w:rsid w:val="00FA3E06"/>
    <w:rsid w:val="00FB0CFC"/>
    <w:rsid w:val="00FC2ED5"/>
    <w:rsid w:val="00FC4493"/>
    <w:rsid w:val="00FC4751"/>
    <w:rsid w:val="00FC5B42"/>
    <w:rsid w:val="00FD0A3A"/>
    <w:rsid w:val="00FF3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341BD"/>
  <w15:docId w15:val="{3AC24F80-4E96-4904-A2A0-80A8A9A91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8A2"/>
  </w:style>
  <w:style w:type="paragraph" w:styleId="Heading1">
    <w:name w:val="heading 1"/>
    <w:basedOn w:val="Normal"/>
    <w:next w:val="Normal"/>
    <w:link w:val="Heading1Char"/>
    <w:uiPriority w:val="9"/>
    <w:qFormat/>
    <w:rsid w:val="006A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E05F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8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8A2"/>
    <w:rPr>
      <w:rFonts w:ascii="Tahoma" w:hAnsi="Tahoma" w:cs="Tahoma"/>
      <w:sz w:val="16"/>
      <w:szCs w:val="16"/>
    </w:rPr>
  </w:style>
  <w:style w:type="paragraph" w:styleId="NormalWeb">
    <w:name w:val="Normal (Web)"/>
    <w:basedOn w:val="Normal"/>
    <w:uiPriority w:val="99"/>
    <w:unhideWhenUsed/>
    <w:rsid w:val="00171E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06F49"/>
    <w:rPr>
      <w:color w:val="0000FF" w:themeColor="hyperlink"/>
      <w:u w:val="single"/>
    </w:rPr>
  </w:style>
  <w:style w:type="paragraph" w:styleId="ListParagraph">
    <w:name w:val="List Paragraph"/>
    <w:basedOn w:val="Normal"/>
    <w:uiPriority w:val="34"/>
    <w:qFormat/>
    <w:rsid w:val="0072338D"/>
    <w:pPr>
      <w:ind w:left="720"/>
      <w:contextualSpacing/>
    </w:pPr>
  </w:style>
  <w:style w:type="paragraph" w:styleId="Header">
    <w:name w:val="header"/>
    <w:basedOn w:val="Normal"/>
    <w:link w:val="HeaderChar"/>
    <w:uiPriority w:val="99"/>
    <w:unhideWhenUsed/>
    <w:rsid w:val="004D30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3050"/>
  </w:style>
  <w:style w:type="paragraph" w:styleId="Footer">
    <w:name w:val="footer"/>
    <w:basedOn w:val="Normal"/>
    <w:link w:val="FooterChar"/>
    <w:uiPriority w:val="99"/>
    <w:unhideWhenUsed/>
    <w:rsid w:val="004D30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3050"/>
  </w:style>
  <w:style w:type="character" w:styleId="Strong">
    <w:name w:val="Strong"/>
    <w:basedOn w:val="DefaultParagraphFont"/>
    <w:uiPriority w:val="22"/>
    <w:qFormat/>
    <w:rsid w:val="004D3050"/>
    <w:rPr>
      <w:b/>
      <w:bCs/>
    </w:rPr>
  </w:style>
  <w:style w:type="character" w:styleId="Emphasis">
    <w:name w:val="Emphasis"/>
    <w:basedOn w:val="DefaultParagraphFont"/>
    <w:uiPriority w:val="20"/>
    <w:qFormat/>
    <w:rsid w:val="00B779E3"/>
    <w:rPr>
      <w:i/>
      <w:iCs/>
    </w:rPr>
  </w:style>
  <w:style w:type="character" w:customStyle="1" w:styleId="Heading2Char">
    <w:name w:val="Heading 2 Char"/>
    <w:basedOn w:val="DefaultParagraphFont"/>
    <w:link w:val="Heading2"/>
    <w:uiPriority w:val="9"/>
    <w:rsid w:val="008E05FE"/>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CC0761"/>
    <w:rPr>
      <w:color w:val="800080" w:themeColor="followedHyperlink"/>
      <w:u w:val="single"/>
    </w:rPr>
  </w:style>
  <w:style w:type="character" w:customStyle="1" w:styleId="Heading1Char">
    <w:name w:val="Heading 1 Char"/>
    <w:basedOn w:val="DefaultParagraphFont"/>
    <w:link w:val="Heading1"/>
    <w:uiPriority w:val="9"/>
    <w:rsid w:val="006A364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C3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4D3A8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1698">
      <w:bodyDiv w:val="1"/>
      <w:marLeft w:val="0"/>
      <w:marRight w:val="0"/>
      <w:marTop w:val="0"/>
      <w:marBottom w:val="0"/>
      <w:divBdr>
        <w:top w:val="none" w:sz="0" w:space="0" w:color="auto"/>
        <w:left w:val="none" w:sz="0" w:space="0" w:color="auto"/>
        <w:bottom w:val="none" w:sz="0" w:space="0" w:color="auto"/>
        <w:right w:val="none" w:sz="0" w:space="0" w:color="auto"/>
      </w:divBdr>
    </w:div>
    <w:div w:id="18826152">
      <w:bodyDiv w:val="1"/>
      <w:marLeft w:val="0"/>
      <w:marRight w:val="0"/>
      <w:marTop w:val="0"/>
      <w:marBottom w:val="0"/>
      <w:divBdr>
        <w:top w:val="none" w:sz="0" w:space="0" w:color="auto"/>
        <w:left w:val="none" w:sz="0" w:space="0" w:color="auto"/>
        <w:bottom w:val="none" w:sz="0" w:space="0" w:color="auto"/>
        <w:right w:val="none" w:sz="0" w:space="0" w:color="auto"/>
      </w:divBdr>
    </w:div>
    <w:div w:id="20714302">
      <w:bodyDiv w:val="1"/>
      <w:marLeft w:val="0"/>
      <w:marRight w:val="0"/>
      <w:marTop w:val="0"/>
      <w:marBottom w:val="0"/>
      <w:divBdr>
        <w:top w:val="none" w:sz="0" w:space="0" w:color="auto"/>
        <w:left w:val="none" w:sz="0" w:space="0" w:color="auto"/>
        <w:bottom w:val="none" w:sz="0" w:space="0" w:color="auto"/>
        <w:right w:val="none" w:sz="0" w:space="0" w:color="auto"/>
      </w:divBdr>
    </w:div>
    <w:div w:id="105119793">
      <w:bodyDiv w:val="1"/>
      <w:marLeft w:val="0"/>
      <w:marRight w:val="0"/>
      <w:marTop w:val="0"/>
      <w:marBottom w:val="0"/>
      <w:divBdr>
        <w:top w:val="none" w:sz="0" w:space="0" w:color="auto"/>
        <w:left w:val="none" w:sz="0" w:space="0" w:color="auto"/>
        <w:bottom w:val="none" w:sz="0" w:space="0" w:color="auto"/>
        <w:right w:val="none" w:sz="0" w:space="0" w:color="auto"/>
      </w:divBdr>
    </w:div>
    <w:div w:id="124281334">
      <w:bodyDiv w:val="1"/>
      <w:marLeft w:val="0"/>
      <w:marRight w:val="0"/>
      <w:marTop w:val="0"/>
      <w:marBottom w:val="0"/>
      <w:divBdr>
        <w:top w:val="none" w:sz="0" w:space="0" w:color="auto"/>
        <w:left w:val="none" w:sz="0" w:space="0" w:color="auto"/>
        <w:bottom w:val="none" w:sz="0" w:space="0" w:color="auto"/>
        <w:right w:val="none" w:sz="0" w:space="0" w:color="auto"/>
      </w:divBdr>
    </w:div>
    <w:div w:id="133913754">
      <w:bodyDiv w:val="1"/>
      <w:marLeft w:val="0"/>
      <w:marRight w:val="0"/>
      <w:marTop w:val="0"/>
      <w:marBottom w:val="0"/>
      <w:divBdr>
        <w:top w:val="none" w:sz="0" w:space="0" w:color="auto"/>
        <w:left w:val="none" w:sz="0" w:space="0" w:color="auto"/>
        <w:bottom w:val="none" w:sz="0" w:space="0" w:color="auto"/>
        <w:right w:val="none" w:sz="0" w:space="0" w:color="auto"/>
      </w:divBdr>
    </w:div>
    <w:div w:id="229579269">
      <w:bodyDiv w:val="1"/>
      <w:marLeft w:val="0"/>
      <w:marRight w:val="0"/>
      <w:marTop w:val="0"/>
      <w:marBottom w:val="0"/>
      <w:divBdr>
        <w:top w:val="none" w:sz="0" w:space="0" w:color="auto"/>
        <w:left w:val="none" w:sz="0" w:space="0" w:color="auto"/>
        <w:bottom w:val="none" w:sz="0" w:space="0" w:color="auto"/>
        <w:right w:val="none" w:sz="0" w:space="0" w:color="auto"/>
      </w:divBdr>
    </w:div>
    <w:div w:id="275723798">
      <w:bodyDiv w:val="1"/>
      <w:marLeft w:val="0"/>
      <w:marRight w:val="0"/>
      <w:marTop w:val="0"/>
      <w:marBottom w:val="0"/>
      <w:divBdr>
        <w:top w:val="none" w:sz="0" w:space="0" w:color="auto"/>
        <w:left w:val="none" w:sz="0" w:space="0" w:color="auto"/>
        <w:bottom w:val="none" w:sz="0" w:space="0" w:color="auto"/>
        <w:right w:val="none" w:sz="0" w:space="0" w:color="auto"/>
      </w:divBdr>
    </w:div>
    <w:div w:id="390231071">
      <w:bodyDiv w:val="1"/>
      <w:marLeft w:val="0"/>
      <w:marRight w:val="0"/>
      <w:marTop w:val="0"/>
      <w:marBottom w:val="0"/>
      <w:divBdr>
        <w:top w:val="none" w:sz="0" w:space="0" w:color="auto"/>
        <w:left w:val="none" w:sz="0" w:space="0" w:color="auto"/>
        <w:bottom w:val="none" w:sz="0" w:space="0" w:color="auto"/>
        <w:right w:val="none" w:sz="0" w:space="0" w:color="auto"/>
      </w:divBdr>
    </w:div>
    <w:div w:id="519662687">
      <w:bodyDiv w:val="1"/>
      <w:marLeft w:val="0"/>
      <w:marRight w:val="0"/>
      <w:marTop w:val="0"/>
      <w:marBottom w:val="0"/>
      <w:divBdr>
        <w:top w:val="none" w:sz="0" w:space="0" w:color="auto"/>
        <w:left w:val="none" w:sz="0" w:space="0" w:color="auto"/>
        <w:bottom w:val="none" w:sz="0" w:space="0" w:color="auto"/>
        <w:right w:val="none" w:sz="0" w:space="0" w:color="auto"/>
      </w:divBdr>
    </w:div>
    <w:div w:id="553930641">
      <w:bodyDiv w:val="1"/>
      <w:marLeft w:val="0"/>
      <w:marRight w:val="0"/>
      <w:marTop w:val="0"/>
      <w:marBottom w:val="0"/>
      <w:divBdr>
        <w:top w:val="none" w:sz="0" w:space="0" w:color="auto"/>
        <w:left w:val="none" w:sz="0" w:space="0" w:color="auto"/>
        <w:bottom w:val="none" w:sz="0" w:space="0" w:color="auto"/>
        <w:right w:val="none" w:sz="0" w:space="0" w:color="auto"/>
      </w:divBdr>
      <w:divsChild>
        <w:div w:id="195195659">
          <w:marLeft w:val="0"/>
          <w:marRight w:val="0"/>
          <w:marTop w:val="0"/>
          <w:marBottom w:val="0"/>
          <w:divBdr>
            <w:top w:val="none" w:sz="0" w:space="0" w:color="auto"/>
            <w:left w:val="none" w:sz="0" w:space="0" w:color="auto"/>
            <w:bottom w:val="none" w:sz="0" w:space="0" w:color="auto"/>
            <w:right w:val="none" w:sz="0" w:space="0" w:color="auto"/>
          </w:divBdr>
          <w:divsChild>
            <w:div w:id="337269396">
              <w:marLeft w:val="0"/>
              <w:marRight w:val="0"/>
              <w:marTop w:val="0"/>
              <w:marBottom w:val="0"/>
              <w:divBdr>
                <w:top w:val="none" w:sz="0" w:space="0" w:color="auto"/>
                <w:left w:val="none" w:sz="0" w:space="0" w:color="auto"/>
                <w:bottom w:val="none" w:sz="0" w:space="0" w:color="auto"/>
                <w:right w:val="none" w:sz="0" w:space="0" w:color="auto"/>
              </w:divBdr>
              <w:divsChild>
                <w:div w:id="1550414740">
                  <w:marLeft w:val="0"/>
                  <w:marRight w:val="0"/>
                  <w:marTop w:val="0"/>
                  <w:marBottom w:val="300"/>
                  <w:divBdr>
                    <w:top w:val="none" w:sz="0" w:space="0" w:color="auto"/>
                    <w:left w:val="none" w:sz="0" w:space="0" w:color="auto"/>
                    <w:bottom w:val="none" w:sz="0" w:space="0" w:color="auto"/>
                    <w:right w:val="none" w:sz="0" w:space="0" w:color="auto"/>
                  </w:divBdr>
                  <w:divsChild>
                    <w:div w:id="18258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430323">
      <w:bodyDiv w:val="1"/>
      <w:marLeft w:val="0"/>
      <w:marRight w:val="0"/>
      <w:marTop w:val="0"/>
      <w:marBottom w:val="0"/>
      <w:divBdr>
        <w:top w:val="none" w:sz="0" w:space="0" w:color="auto"/>
        <w:left w:val="none" w:sz="0" w:space="0" w:color="auto"/>
        <w:bottom w:val="none" w:sz="0" w:space="0" w:color="auto"/>
        <w:right w:val="none" w:sz="0" w:space="0" w:color="auto"/>
      </w:divBdr>
    </w:div>
    <w:div w:id="763191442">
      <w:bodyDiv w:val="1"/>
      <w:marLeft w:val="0"/>
      <w:marRight w:val="0"/>
      <w:marTop w:val="0"/>
      <w:marBottom w:val="0"/>
      <w:divBdr>
        <w:top w:val="none" w:sz="0" w:space="0" w:color="auto"/>
        <w:left w:val="none" w:sz="0" w:space="0" w:color="auto"/>
        <w:bottom w:val="none" w:sz="0" w:space="0" w:color="auto"/>
        <w:right w:val="none" w:sz="0" w:space="0" w:color="auto"/>
      </w:divBdr>
      <w:divsChild>
        <w:div w:id="744185634">
          <w:marLeft w:val="547"/>
          <w:marRight w:val="0"/>
          <w:marTop w:val="115"/>
          <w:marBottom w:val="0"/>
          <w:divBdr>
            <w:top w:val="none" w:sz="0" w:space="0" w:color="auto"/>
            <w:left w:val="none" w:sz="0" w:space="0" w:color="auto"/>
            <w:bottom w:val="none" w:sz="0" w:space="0" w:color="auto"/>
            <w:right w:val="none" w:sz="0" w:space="0" w:color="auto"/>
          </w:divBdr>
        </w:div>
        <w:div w:id="918297553">
          <w:marLeft w:val="547"/>
          <w:marRight w:val="0"/>
          <w:marTop w:val="115"/>
          <w:marBottom w:val="0"/>
          <w:divBdr>
            <w:top w:val="none" w:sz="0" w:space="0" w:color="auto"/>
            <w:left w:val="none" w:sz="0" w:space="0" w:color="auto"/>
            <w:bottom w:val="none" w:sz="0" w:space="0" w:color="auto"/>
            <w:right w:val="none" w:sz="0" w:space="0" w:color="auto"/>
          </w:divBdr>
        </w:div>
        <w:div w:id="1062483134">
          <w:marLeft w:val="547"/>
          <w:marRight w:val="0"/>
          <w:marTop w:val="115"/>
          <w:marBottom w:val="0"/>
          <w:divBdr>
            <w:top w:val="none" w:sz="0" w:space="0" w:color="auto"/>
            <w:left w:val="none" w:sz="0" w:space="0" w:color="auto"/>
            <w:bottom w:val="none" w:sz="0" w:space="0" w:color="auto"/>
            <w:right w:val="none" w:sz="0" w:space="0" w:color="auto"/>
          </w:divBdr>
        </w:div>
        <w:div w:id="1336303072">
          <w:marLeft w:val="547"/>
          <w:marRight w:val="0"/>
          <w:marTop w:val="115"/>
          <w:marBottom w:val="0"/>
          <w:divBdr>
            <w:top w:val="none" w:sz="0" w:space="0" w:color="auto"/>
            <w:left w:val="none" w:sz="0" w:space="0" w:color="auto"/>
            <w:bottom w:val="none" w:sz="0" w:space="0" w:color="auto"/>
            <w:right w:val="none" w:sz="0" w:space="0" w:color="auto"/>
          </w:divBdr>
        </w:div>
        <w:div w:id="1976249195">
          <w:marLeft w:val="547"/>
          <w:marRight w:val="0"/>
          <w:marTop w:val="115"/>
          <w:marBottom w:val="0"/>
          <w:divBdr>
            <w:top w:val="none" w:sz="0" w:space="0" w:color="auto"/>
            <w:left w:val="none" w:sz="0" w:space="0" w:color="auto"/>
            <w:bottom w:val="none" w:sz="0" w:space="0" w:color="auto"/>
            <w:right w:val="none" w:sz="0" w:space="0" w:color="auto"/>
          </w:divBdr>
        </w:div>
        <w:div w:id="1990863969">
          <w:marLeft w:val="547"/>
          <w:marRight w:val="0"/>
          <w:marTop w:val="115"/>
          <w:marBottom w:val="0"/>
          <w:divBdr>
            <w:top w:val="none" w:sz="0" w:space="0" w:color="auto"/>
            <w:left w:val="none" w:sz="0" w:space="0" w:color="auto"/>
            <w:bottom w:val="none" w:sz="0" w:space="0" w:color="auto"/>
            <w:right w:val="none" w:sz="0" w:space="0" w:color="auto"/>
          </w:divBdr>
        </w:div>
      </w:divsChild>
    </w:div>
    <w:div w:id="937523799">
      <w:bodyDiv w:val="1"/>
      <w:marLeft w:val="0"/>
      <w:marRight w:val="0"/>
      <w:marTop w:val="0"/>
      <w:marBottom w:val="0"/>
      <w:divBdr>
        <w:top w:val="none" w:sz="0" w:space="0" w:color="auto"/>
        <w:left w:val="none" w:sz="0" w:space="0" w:color="auto"/>
        <w:bottom w:val="none" w:sz="0" w:space="0" w:color="auto"/>
        <w:right w:val="none" w:sz="0" w:space="0" w:color="auto"/>
      </w:divBdr>
    </w:div>
    <w:div w:id="977147963">
      <w:bodyDiv w:val="1"/>
      <w:marLeft w:val="0"/>
      <w:marRight w:val="0"/>
      <w:marTop w:val="0"/>
      <w:marBottom w:val="0"/>
      <w:divBdr>
        <w:top w:val="none" w:sz="0" w:space="0" w:color="auto"/>
        <w:left w:val="none" w:sz="0" w:space="0" w:color="auto"/>
        <w:bottom w:val="none" w:sz="0" w:space="0" w:color="auto"/>
        <w:right w:val="none" w:sz="0" w:space="0" w:color="auto"/>
      </w:divBdr>
    </w:div>
    <w:div w:id="1002244616">
      <w:bodyDiv w:val="1"/>
      <w:marLeft w:val="0"/>
      <w:marRight w:val="0"/>
      <w:marTop w:val="0"/>
      <w:marBottom w:val="0"/>
      <w:divBdr>
        <w:top w:val="none" w:sz="0" w:space="0" w:color="auto"/>
        <w:left w:val="none" w:sz="0" w:space="0" w:color="auto"/>
        <w:bottom w:val="none" w:sz="0" w:space="0" w:color="auto"/>
        <w:right w:val="none" w:sz="0" w:space="0" w:color="auto"/>
      </w:divBdr>
    </w:div>
    <w:div w:id="1104038346">
      <w:bodyDiv w:val="1"/>
      <w:marLeft w:val="0"/>
      <w:marRight w:val="0"/>
      <w:marTop w:val="0"/>
      <w:marBottom w:val="0"/>
      <w:divBdr>
        <w:top w:val="none" w:sz="0" w:space="0" w:color="auto"/>
        <w:left w:val="none" w:sz="0" w:space="0" w:color="auto"/>
        <w:bottom w:val="none" w:sz="0" w:space="0" w:color="auto"/>
        <w:right w:val="none" w:sz="0" w:space="0" w:color="auto"/>
      </w:divBdr>
    </w:div>
    <w:div w:id="1192493666">
      <w:bodyDiv w:val="1"/>
      <w:marLeft w:val="0"/>
      <w:marRight w:val="0"/>
      <w:marTop w:val="0"/>
      <w:marBottom w:val="0"/>
      <w:divBdr>
        <w:top w:val="none" w:sz="0" w:space="0" w:color="auto"/>
        <w:left w:val="none" w:sz="0" w:space="0" w:color="auto"/>
        <w:bottom w:val="none" w:sz="0" w:space="0" w:color="auto"/>
        <w:right w:val="none" w:sz="0" w:space="0" w:color="auto"/>
      </w:divBdr>
    </w:div>
    <w:div w:id="1225943741">
      <w:bodyDiv w:val="1"/>
      <w:marLeft w:val="0"/>
      <w:marRight w:val="0"/>
      <w:marTop w:val="0"/>
      <w:marBottom w:val="0"/>
      <w:divBdr>
        <w:top w:val="none" w:sz="0" w:space="0" w:color="auto"/>
        <w:left w:val="none" w:sz="0" w:space="0" w:color="auto"/>
        <w:bottom w:val="none" w:sz="0" w:space="0" w:color="auto"/>
        <w:right w:val="none" w:sz="0" w:space="0" w:color="auto"/>
      </w:divBdr>
    </w:div>
    <w:div w:id="1266694249">
      <w:bodyDiv w:val="1"/>
      <w:marLeft w:val="0"/>
      <w:marRight w:val="0"/>
      <w:marTop w:val="0"/>
      <w:marBottom w:val="0"/>
      <w:divBdr>
        <w:top w:val="none" w:sz="0" w:space="0" w:color="auto"/>
        <w:left w:val="none" w:sz="0" w:space="0" w:color="auto"/>
        <w:bottom w:val="none" w:sz="0" w:space="0" w:color="auto"/>
        <w:right w:val="none" w:sz="0" w:space="0" w:color="auto"/>
      </w:divBdr>
    </w:div>
    <w:div w:id="1277367365">
      <w:bodyDiv w:val="1"/>
      <w:marLeft w:val="0"/>
      <w:marRight w:val="0"/>
      <w:marTop w:val="0"/>
      <w:marBottom w:val="0"/>
      <w:divBdr>
        <w:top w:val="none" w:sz="0" w:space="0" w:color="auto"/>
        <w:left w:val="none" w:sz="0" w:space="0" w:color="auto"/>
        <w:bottom w:val="none" w:sz="0" w:space="0" w:color="auto"/>
        <w:right w:val="none" w:sz="0" w:space="0" w:color="auto"/>
      </w:divBdr>
    </w:div>
    <w:div w:id="1298225657">
      <w:bodyDiv w:val="1"/>
      <w:marLeft w:val="0"/>
      <w:marRight w:val="0"/>
      <w:marTop w:val="0"/>
      <w:marBottom w:val="0"/>
      <w:divBdr>
        <w:top w:val="none" w:sz="0" w:space="0" w:color="auto"/>
        <w:left w:val="none" w:sz="0" w:space="0" w:color="auto"/>
        <w:bottom w:val="none" w:sz="0" w:space="0" w:color="auto"/>
        <w:right w:val="none" w:sz="0" w:space="0" w:color="auto"/>
      </w:divBdr>
      <w:divsChild>
        <w:div w:id="176192940">
          <w:marLeft w:val="547"/>
          <w:marRight w:val="0"/>
          <w:marTop w:val="115"/>
          <w:marBottom w:val="0"/>
          <w:divBdr>
            <w:top w:val="none" w:sz="0" w:space="0" w:color="auto"/>
            <w:left w:val="none" w:sz="0" w:space="0" w:color="auto"/>
            <w:bottom w:val="none" w:sz="0" w:space="0" w:color="auto"/>
            <w:right w:val="none" w:sz="0" w:space="0" w:color="auto"/>
          </w:divBdr>
        </w:div>
        <w:div w:id="386608396">
          <w:marLeft w:val="547"/>
          <w:marRight w:val="0"/>
          <w:marTop w:val="115"/>
          <w:marBottom w:val="0"/>
          <w:divBdr>
            <w:top w:val="none" w:sz="0" w:space="0" w:color="auto"/>
            <w:left w:val="none" w:sz="0" w:space="0" w:color="auto"/>
            <w:bottom w:val="none" w:sz="0" w:space="0" w:color="auto"/>
            <w:right w:val="none" w:sz="0" w:space="0" w:color="auto"/>
          </w:divBdr>
        </w:div>
        <w:div w:id="1209149704">
          <w:marLeft w:val="547"/>
          <w:marRight w:val="0"/>
          <w:marTop w:val="115"/>
          <w:marBottom w:val="0"/>
          <w:divBdr>
            <w:top w:val="none" w:sz="0" w:space="0" w:color="auto"/>
            <w:left w:val="none" w:sz="0" w:space="0" w:color="auto"/>
            <w:bottom w:val="none" w:sz="0" w:space="0" w:color="auto"/>
            <w:right w:val="none" w:sz="0" w:space="0" w:color="auto"/>
          </w:divBdr>
        </w:div>
        <w:div w:id="1474640872">
          <w:marLeft w:val="547"/>
          <w:marRight w:val="0"/>
          <w:marTop w:val="115"/>
          <w:marBottom w:val="0"/>
          <w:divBdr>
            <w:top w:val="none" w:sz="0" w:space="0" w:color="auto"/>
            <w:left w:val="none" w:sz="0" w:space="0" w:color="auto"/>
            <w:bottom w:val="none" w:sz="0" w:space="0" w:color="auto"/>
            <w:right w:val="none" w:sz="0" w:space="0" w:color="auto"/>
          </w:divBdr>
        </w:div>
        <w:div w:id="1614903301">
          <w:marLeft w:val="547"/>
          <w:marRight w:val="0"/>
          <w:marTop w:val="115"/>
          <w:marBottom w:val="0"/>
          <w:divBdr>
            <w:top w:val="none" w:sz="0" w:space="0" w:color="auto"/>
            <w:left w:val="none" w:sz="0" w:space="0" w:color="auto"/>
            <w:bottom w:val="none" w:sz="0" w:space="0" w:color="auto"/>
            <w:right w:val="none" w:sz="0" w:space="0" w:color="auto"/>
          </w:divBdr>
        </w:div>
        <w:div w:id="1892695306">
          <w:marLeft w:val="547"/>
          <w:marRight w:val="0"/>
          <w:marTop w:val="115"/>
          <w:marBottom w:val="0"/>
          <w:divBdr>
            <w:top w:val="none" w:sz="0" w:space="0" w:color="auto"/>
            <w:left w:val="none" w:sz="0" w:space="0" w:color="auto"/>
            <w:bottom w:val="none" w:sz="0" w:space="0" w:color="auto"/>
            <w:right w:val="none" w:sz="0" w:space="0" w:color="auto"/>
          </w:divBdr>
        </w:div>
      </w:divsChild>
    </w:div>
    <w:div w:id="1359505223">
      <w:bodyDiv w:val="1"/>
      <w:marLeft w:val="0"/>
      <w:marRight w:val="0"/>
      <w:marTop w:val="0"/>
      <w:marBottom w:val="0"/>
      <w:divBdr>
        <w:top w:val="none" w:sz="0" w:space="0" w:color="auto"/>
        <w:left w:val="none" w:sz="0" w:space="0" w:color="auto"/>
        <w:bottom w:val="none" w:sz="0" w:space="0" w:color="auto"/>
        <w:right w:val="none" w:sz="0" w:space="0" w:color="auto"/>
      </w:divBdr>
    </w:div>
    <w:div w:id="1389107341">
      <w:bodyDiv w:val="1"/>
      <w:marLeft w:val="0"/>
      <w:marRight w:val="0"/>
      <w:marTop w:val="0"/>
      <w:marBottom w:val="0"/>
      <w:divBdr>
        <w:top w:val="none" w:sz="0" w:space="0" w:color="auto"/>
        <w:left w:val="none" w:sz="0" w:space="0" w:color="auto"/>
        <w:bottom w:val="none" w:sz="0" w:space="0" w:color="auto"/>
        <w:right w:val="none" w:sz="0" w:space="0" w:color="auto"/>
      </w:divBdr>
    </w:div>
    <w:div w:id="1456555619">
      <w:bodyDiv w:val="1"/>
      <w:marLeft w:val="0"/>
      <w:marRight w:val="0"/>
      <w:marTop w:val="0"/>
      <w:marBottom w:val="0"/>
      <w:divBdr>
        <w:top w:val="none" w:sz="0" w:space="0" w:color="auto"/>
        <w:left w:val="none" w:sz="0" w:space="0" w:color="auto"/>
        <w:bottom w:val="none" w:sz="0" w:space="0" w:color="auto"/>
        <w:right w:val="none" w:sz="0" w:space="0" w:color="auto"/>
      </w:divBdr>
    </w:div>
    <w:div w:id="1473988144">
      <w:bodyDiv w:val="1"/>
      <w:marLeft w:val="0"/>
      <w:marRight w:val="0"/>
      <w:marTop w:val="0"/>
      <w:marBottom w:val="0"/>
      <w:divBdr>
        <w:top w:val="none" w:sz="0" w:space="0" w:color="auto"/>
        <w:left w:val="none" w:sz="0" w:space="0" w:color="auto"/>
        <w:bottom w:val="none" w:sz="0" w:space="0" w:color="auto"/>
        <w:right w:val="none" w:sz="0" w:space="0" w:color="auto"/>
      </w:divBdr>
    </w:div>
    <w:div w:id="1593514408">
      <w:bodyDiv w:val="1"/>
      <w:marLeft w:val="0"/>
      <w:marRight w:val="0"/>
      <w:marTop w:val="0"/>
      <w:marBottom w:val="0"/>
      <w:divBdr>
        <w:top w:val="none" w:sz="0" w:space="0" w:color="auto"/>
        <w:left w:val="none" w:sz="0" w:space="0" w:color="auto"/>
        <w:bottom w:val="none" w:sz="0" w:space="0" w:color="auto"/>
        <w:right w:val="none" w:sz="0" w:space="0" w:color="auto"/>
      </w:divBdr>
    </w:div>
    <w:div w:id="1604342906">
      <w:bodyDiv w:val="1"/>
      <w:marLeft w:val="0"/>
      <w:marRight w:val="0"/>
      <w:marTop w:val="0"/>
      <w:marBottom w:val="0"/>
      <w:divBdr>
        <w:top w:val="none" w:sz="0" w:space="0" w:color="auto"/>
        <w:left w:val="none" w:sz="0" w:space="0" w:color="auto"/>
        <w:bottom w:val="none" w:sz="0" w:space="0" w:color="auto"/>
        <w:right w:val="none" w:sz="0" w:space="0" w:color="auto"/>
      </w:divBdr>
    </w:div>
    <w:div w:id="1716538507">
      <w:bodyDiv w:val="1"/>
      <w:marLeft w:val="0"/>
      <w:marRight w:val="0"/>
      <w:marTop w:val="0"/>
      <w:marBottom w:val="0"/>
      <w:divBdr>
        <w:top w:val="none" w:sz="0" w:space="0" w:color="auto"/>
        <w:left w:val="none" w:sz="0" w:space="0" w:color="auto"/>
        <w:bottom w:val="none" w:sz="0" w:space="0" w:color="auto"/>
        <w:right w:val="none" w:sz="0" w:space="0" w:color="auto"/>
      </w:divBdr>
    </w:div>
    <w:div w:id="1729955497">
      <w:bodyDiv w:val="1"/>
      <w:marLeft w:val="0"/>
      <w:marRight w:val="0"/>
      <w:marTop w:val="0"/>
      <w:marBottom w:val="0"/>
      <w:divBdr>
        <w:top w:val="none" w:sz="0" w:space="0" w:color="auto"/>
        <w:left w:val="none" w:sz="0" w:space="0" w:color="auto"/>
        <w:bottom w:val="none" w:sz="0" w:space="0" w:color="auto"/>
        <w:right w:val="none" w:sz="0" w:space="0" w:color="auto"/>
      </w:divBdr>
    </w:div>
    <w:div w:id="1767070263">
      <w:bodyDiv w:val="1"/>
      <w:marLeft w:val="0"/>
      <w:marRight w:val="0"/>
      <w:marTop w:val="0"/>
      <w:marBottom w:val="0"/>
      <w:divBdr>
        <w:top w:val="none" w:sz="0" w:space="0" w:color="auto"/>
        <w:left w:val="none" w:sz="0" w:space="0" w:color="auto"/>
        <w:bottom w:val="none" w:sz="0" w:space="0" w:color="auto"/>
        <w:right w:val="none" w:sz="0" w:space="0" w:color="auto"/>
      </w:divBdr>
    </w:div>
    <w:div w:id="1823235631">
      <w:bodyDiv w:val="1"/>
      <w:marLeft w:val="0"/>
      <w:marRight w:val="0"/>
      <w:marTop w:val="0"/>
      <w:marBottom w:val="0"/>
      <w:divBdr>
        <w:top w:val="none" w:sz="0" w:space="0" w:color="auto"/>
        <w:left w:val="none" w:sz="0" w:space="0" w:color="auto"/>
        <w:bottom w:val="none" w:sz="0" w:space="0" w:color="auto"/>
        <w:right w:val="none" w:sz="0" w:space="0" w:color="auto"/>
      </w:divBdr>
    </w:div>
    <w:div w:id="1923905495">
      <w:bodyDiv w:val="1"/>
      <w:marLeft w:val="0"/>
      <w:marRight w:val="0"/>
      <w:marTop w:val="0"/>
      <w:marBottom w:val="0"/>
      <w:divBdr>
        <w:top w:val="none" w:sz="0" w:space="0" w:color="auto"/>
        <w:left w:val="none" w:sz="0" w:space="0" w:color="auto"/>
        <w:bottom w:val="none" w:sz="0" w:space="0" w:color="auto"/>
        <w:right w:val="none" w:sz="0" w:space="0" w:color="auto"/>
      </w:divBdr>
    </w:div>
    <w:div w:id="1927764283">
      <w:bodyDiv w:val="1"/>
      <w:marLeft w:val="0"/>
      <w:marRight w:val="0"/>
      <w:marTop w:val="0"/>
      <w:marBottom w:val="0"/>
      <w:divBdr>
        <w:top w:val="none" w:sz="0" w:space="0" w:color="auto"/>
        <w:left w:val="none" w:sz="0" w:space="0" w:color="auto"/>
        <w:bottom w:val="none" w:sz="0" w:space="0" w:color="auto"/>
        <w:right w:val="none" w:sz="0" w:space="0" w:color="auto"/>
      </w:divBdr>
    </w:div>
    <w:div w:id="1936134853">
      <w:bodyDiv w:val="1"/>
      <w:marLeft w:val="0"/>
      <w:marRight w:val="0"/>
      <w:marTop w:val="0"/>
      <w:marBottom w:val="0"/>
      <w:divBdr>
        <w:top w:val="none" w:sz="0" w:space="0" w:color="auto"/>
        <w:left w:val="none" w:sz="0" w:space="0" w:color="auto"/>
        <w:bottom w:val="none" w:sz="0" w:space="0" w:color="auto"/>
        <w:right w:val="none" w:sz="0" w:space="0" w:color="auto"/>
      </w:divBdr>
      <w:divsChild>
        <w:div w:id="121854084">
          <w:marLeft w:val="547"/>
          <w:marRight w:val="0"/>
          <w:marTop w:val="115"/>
          <w:marBottom w:val="0"/>
          <w:divBdr>
            <w:top w:val="none" w:sz="0" w:space="0" w:color="auto"/>
            <w:left w:val="none" w:sz="0" w:space="0" w:color="auto"/>
            <w:bottom w:val="none" w:sz="0" w:space="0" w:color="auto"/>
            <w:right w:val="none" w:sz="0" w:space="0" w:color="auto"/>
          </w:divBdr>
        </w:div>
        <w:div w:id="420682598">
          <w:marLeft w:val="720"/>
          <w:marRight w:val="0"/>
          <w:marTop w:val="115"/>
          <w:marBottom w:val="0"/>
          <w:divBdr>
            <w:top w:val="none" w:sz="0" w:space="0" w:color="auto"/>
            <w:left w:val="none" w:sz="0" w:space="0" w:color="auto"/>
            <w:bottom w:val="none" w:sz="0" w:space="0" w:color="auto"/>
            <w:right w:val="none" w:sz="0" w:space="0" w:color="auto"/>
          </w:divBdr>
        </w:div>
        <w:div w:id="980967443">
          <w:marLeft w:val="1166"/>
          <w:marRight w:val="0"/>
          <w:marTop w:val="96"/>
          <w:marBottom w:val="0"/>
          <w:divBdr>
            <w:top w:val="none" w:sz="0" w:space="0" w:color="auto"/>
            <w:left w:val="none" w:sz="0" w:space="0" w:color="auto"/>
            <w:bottom w:val="none" w:sz="0" w:space="0" w:color="auto"/>
            <w:right w:val="none" w:sz="0" w:space="0" w:color="auto"/>
          </w:divBdr>
        </w:div>
        <w:div w:id="1732800643">
          <w:marLeft w:val="720"/>
          <w:marRight w:val="0"/>
          <w:marTop w:val="115"/>
          <w:marBottom w:val="0"/>
          <w:divBdr>
            <w:top w:val="none" w:sz="0" w:space="0" w:color="auto"/>
            <w:left w:val="none" w:sz="0" w:space="0" w:color="auto"/>
            <w:bottom w:val="none" w:sz="0" w:space="0" w:color="auto"/>
            <w:right w:val="none" w:sz="0" w:space="0" w:color="auto"/>
          </w:divBdr>
        </w:div>
        <w:div w:id="1854149769">
          <w:marLeft w:val="1166"/>
          <w:marRight w:val="0"/>
          <w:marTop w:val="96"/>
          <w:marBottom w:val="0"/>
          <w:divBdr>
            <w:top w:val="none" w:sz="0" w:space="0" w:color="auto"/>
            <w:left w:val="none" w:sz="0" w:space="0" w:color="auto"/>
            <w:bottom w:val="none" w:sz="0" w:space="0" w:color="auto"/>
            <w:right w:val="none" w:sz="0" w:space="0" w:color="auto"/>
          </w:divBdr>
        </w:div>
        <w:div w:id="2109230381">
          <w:marLeft w:val="547"/>
          <w:marRight w:val="0"/>
          <w:marTop w:val="115"/>
          <w:marBottom w:val="0"/>
          <w:divBdr>
            <w:top w:val="none" w:sz="0" w:space="0" w:color="auto"/>
            <w:left w:val="none" w:sz="0" w:space="0" w:color="auto"/>
            <w:bottom w:val="none" w:sz="0" w:space="0" w:color="auto"/>
            <w:right w:val="none" w:sz="0" w:space="0" w:color="auto"/>
          </w:divBdr>
        </w:div>
      </w:divsChild>
    </w:div>
    <w:div w:id="1995991055">
      <w:bodyDiv w:val="1"/>
      <w:marLeft w:val="0"/>
      <w:marRight w:val="0"/>
      <w:marTop w:val="0"/>
      <w:marBottom w:val="0"/>
      <w:divBdr>
        <w:top w:val="none" w:sz="0" w:space="0" w:color="auto"/>
        <w:left w:val="none" w:sz="0" w:space="0" w:color="auto"/>
        <w:bottom w:val="none" w:sz="0" w:space="0" w:color="auto"/>
        <w:right w:val="none" w:sz="0" w:space="0" w:color="auto"/>
      </w:divBdr>
    </w:div>
    <w:div w:id="2011330131">
      <w:bodyDiv w:val="1"/>
      <w:marLeft w:val="0"/>
      <w:marRight w:val="0"/>
      <w:marTop w:val="0"/>
      <w:marBottom w:val="0"/>
      <w:divBdr>
        <w:top w:val="none" w:sz="0" w:space="0" w:color="auto"/>
        <w:left w:val="none" w:sz="0" w:space="0" w:color="auto"/>
        <w:bottom w:val="none" w:sz="0" w:space="0" w:color="auto"/>
        <w:right w:val="none" w:sz="0" w:space="0" w:color="auto"/>
      </w:divBdr>
    </w:div>
    <w:div w:id="2092584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03314-812D-4098-98D6-6F12808D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Rodney Townson</cp:lastModifiedBy>
  <cp:revision>2</cp:revision>
  <cp:lastPrinted>2024-01-04T17:22:00Z</cp:lastPrinted>
  <dcterms:created xsi:type="dcterms:W3CDTF">2024-01-18T17:11:00Z</dcterms:created>
  <dcterms:modified xsi:type="dcterms:W3CDTF">2024-01-18T17:11:00Z</dcterms:modified>
</cp:coreProperties>
</file>